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B02CC" w14:textId="3B606BC7" w:rsidR="00CE22ED" w:rsidRDefault="00205287" w:rsidP="00E64EF2">
      <w:pPr>
        <w:ind w:right="1252" w:firstLine="720"/>
        <w:jc w:val="center"/>
        <w:outlineLvl w:val="0"/>
        <w:rPr>
          <w:rFonts w:ascii="Cambria" w:hAnsi="Cambria" w:cs="Arial"/>
          <w:b/>
          <w:color w:val="1F3864" w:themeColor="accent1" w:themeShade="80"/>
          <w:sz w:val="44"/>
          <w:lang w:val="tr-TR"/>
        </w:rPr>
      </w:pPr>
      <w:r w:rsidRPr="004352A9">
        <w:rPr>
          <w:rFonts w:ascii="Cambria" w:hAnsi="Cambria" w:cs="Arial"/>
          <w:b/>
          <w:color w:val="1F3864" w:themeColor="accent1" w:themeShade="80"/>
          <w:sz w:val="44"/>
          <w:lang w:val="tr-TR"/>
        </w:rPr>
        <w:t>Yükselen Pazarlar Hareket Halinde</w:t>
      </w:r>
    </w:p>
    <w:p w14:paraId="63544F0C" w14:textId="787F28BD" w:rsidR="00B35B97" w:rsidRPr="004352A9" w:rsidRDefault="00094359" w:rsidP="00094359">
      <w:pPr>
        <w:spacing w:after="0"/>
        <w:jc w:val="both"/>
        <w:rPr>
          <w:rFonts w:ascii="Arial" w:hAnsi="Arial" w:cs="Arial"/>
          <w:color w:val="1F3864" w:themeColor="accent1" w:themeShade="80"/>
          <w:sz w:val="28"/>
          <w:lang w:val="tr-TR"/>
        </w:rPr>
      </w:pPr>
      <w:bookmarkStart w:id="0" w:name="_GoBack"/>
      <w:bookmarkEnd w:id="0"/>
      <w:r w:rsidRPr="004352A9">
        <w:rPr>
          <w:rFonts w:ascii="Arial" w:hAnsi="Arial" w:cs="Arial"/>
          <w:sz w:val="24"/>
          <w:lang w:val="tr-TR"/>
        </w:rPr>
        <w:t xml:space="preserve">Göçle ilişkili trajediler, tehditler ve krizler </w:t>
      </w:r>
      <w:r w:rsidR="009F663E" w:rsidRPr="004352A9">
        <w:rPr>
          <w:rFonts w:ascii="Arial" w:hAnsi="Arial" w:cs="Arial"/>
          <w:sz w:val="24"/>
          <w:lang w:val="tr-TR"/>
        </w:rPr>
        <w:t>arka planıyla</w:t>
      </w:r>
      <w:r w:rsidRPr="004352A9">
        <w:rPr>
          <w:rFonts w:ascii="Arial" w:hAnsi="Arial" w:cs="Arial"/>
          <w:sz w:val="24"/>
          <w:lang w:val="tr-TR"/>
        </w:rPr>
        <w:t xml:space="preserve"> Oxford Green Templeton College’da </w:t>
      </w:r>
      <w:r w:rsidRPr="004352A9">
        <w:rPr>
          <w:rFonts w:ascii="Arial" w:hAnsi="Arial" w:cs="Arial"/>
          <w:i/>
          <w:iCs/>
          <w:sz w:val="24"/>
          <w:lang w:val="tr-TR"/>
        </w:rPr>
        <w:t>Göç ve Yükselen Pazarların Geleceği</w:t>
      </w:r>
      <w:r w:rsidRPr="004352A9">
        <w:rPr>
          <w:rFonts w:ascii="Arial" w:hAnsi="Arial" w:cs="Arial"/>
          <w:sz w:val="24"/>
          <w:lang w:val="tr-TR"/>
        </w:rPr>
        <w:t xml:space="preserve"> başlığıyla düzenlenen sempozyumda aşağıdaki sonuç ve tavsiyelerde karar kılındı. </w:t>
      </w:r>
    </w:p>
    <w:p w14:paraId="61B4FD96" w14:textId="77777777" w:rsidR="006C4B78" w:rsidRPr="004352A9" w:rsidRDefault="006C4B78" w:rsidP="008F6C34">
      <w:pPr>
        <w:spacing w:after="0"/>
        <w:jc w:val="both"/>
        <w:rPr>
          <w:rFonts w:ascii="Arial" w:hAnsi="Arial" w:cs="Arial"/>
          <w:color w:val="1F3864" w:themeColor="accent1" w:themeShade="80"/>
          <w:sz w:val="10"/>
          <w:lang w:val="tr-TR"/>
        </w:rPr>
      </w:pPr>
    </w:p>
    <w:p w14:paraId="230B3D91" w14:textId="0C134AC6" w:rsidR="006C4B78" w:rsidRPr="004352A9" w:rsidRDefault="00094359" w:rsidP="008F6C34">
      <w:pPr>
        <w:spacing w:after="0"/>
        <w:jc w:val="both"/>
        <w:rPr>
          <w:rFonts w:ascii="Cambria" w:hAnsi="Cambria" w:cs="Arial"/>
          <w:b/>
          <w:color w:val="1F3864" w:themeColor="accent1" w:themeShade="80"/>
          <w:sz w:val="32"/>
          <w:szCs w:val="28"/>
          <w:lang w:val="tr-TR"/>
        </w:rPr>
      </w:pPr>
      <w:r w:rsidRPr="004352A9">
        <w:rPr>
          <w:rFonts w:ascii="Cambria" w:hAnsi="Cambria" w:cs="Arial"/>
          <w:b/>
          <w:color w:val="1F3864" w:themeColor="accent1" w:themeShade="80"/>
          <w:sz w:val="32"/>
          <w:szCs w:val="28"/>
          <w:lang w:val="tr-TR"/>
        </w:rPr>
        <w:t>Sonuçlar</w:t>
      </w:r>
    </w:p>
    <w:p w14:paraId="4A0D4A4C" w14:textId="53D35B16" w:rsidR="007D2F2F" w:rsidRPr="004352A9" w:rsidRDefault="00094359" w:rsidP="00AD3336">
      <w:pPr>
        <w:pStyle w:val="ListeParagraf"/>
        <w:widowControl w:val="0"/>
        <w:numPr>
          <w:ilvl w:val="0"/>
          <w:numId w:val="24"/>
        </w:numPr>
        <w:autoSpaceDE w:val="0"/>
        <w:autoSpaceDN w:val="0"/>
        <w:adjustRightInd w:val="0"/>
        <w:spacing w:after="0"/>
        <w:jc w:val="both"/>
        <w:rPr>
          <w:rFonts w:ascii="Arial" w:eastAsia="Times New Roman" w:hAnsi="Arial" w:cs="Arial"/>
          <w:color w:val="000000"/>
          <w:sz w:val="10"/>
          <w:szCs w:val="10"/>
          <w:lang w:val="tr-TR"/>
        </w:rPr>
      </w:pPr>
      <w:r w:rsidRPr="004352A9">
        <w:rPr>
          <w:rFonts w:ascii="Arial" w:hAnsi="Arial" w:cs="Arial"/>
          <w:sz w:val="24"/>
          <w:szCs w:val="24"/>
          <w:lang w:val="tr-TR"/>
        </w:rPr>
        <w:t xml:space="preserve">Yorumcular sıklıkla Asya, Avrupa ve Latin Amerika’daki Brezilya, Çin, </w:t>
      </w:r>
      <w:r w:rsidR="009F663E" w:rsidRPr="004352A9">
        <w:rPr>
          <w:rFonts w:ascii="Arial" w:hAnsi="Arial" w:cs="Arial"/>
          <w:sz w:val="24"/>
          <w:szCs w:val="24"/>
          <w:lang w:val="tr-TR"/>
        </w:rPr>
        <w:t>Hindistan</w:t>
      </w:r>
      <w:r w:rsidRPr="004352A9">
        <w:rPr>
          <w:rFonts w:ascii="Arial" w:hAnsi="Arial" w:cs="Arial"/>
          <w:sz w:val="24"/>
          <w:szCs w:val="24"/>
          <w:lang w:val="tr-TR"/>
        </w:rPr>
        <w:t xml:space="preserve">, Endonezya, Meksika, Rusya, Güney Afrika, Türkiye ve birçok diğer yükselen pazarın </w:t>
      </w:r>
      <w:r w:rsidR="009F663E" w:rsidRPr="004352A9">
        <w:rPr>
          <w:rFonts w:ascii="Arial" w:hAnsi="Arial" w:cs="Arial"/>
          <w:sz w:val="24"/>
          <w:szCs w:val="24"/>
          <w:lang w:val="tr-TR"/>
        </w:rPr>
        <w:t>uluslararası</w:t>
      </w:r>
      <w:r w:rsidRPr="004352A9">
        <w:rPr>
          <w:rFonts w:ascii="Arial" w:hAnsi="Arial" w:cs="Arial"/>
          <w:sz w:val="24"/>
          <w:szCs w:val="24"/>
          <w:lang w:val="tr-TR"/>
        </w:rPr>
        <w:t xml:space="preserve"> göçmenlerin ana kaynakları olduğunu (yalnızca Hindistan, Meksika, Rusya ve Çin için sayı 40 milyonu aşmaktadır) gözden kaçırmaktadır. Aynı zamanda yükselen pazarların daha müreffeh ülkelerden geri dönen göçmenlerin ana hedef </w:t>
      </w:r>
      <w:r w:rsidR="00205287" w:rsidRPr="004352A9">
        <w:rPr>
          <w:rFonts w:ascii="Arial" w:hAnsi="Arial" w:cs="Arial"/>
          <w:sz w:val="24"/>
          <w:szCs w:val="24"/>
          <w:lang w:val="tr-TR"/>
        </w:rPr>
        <w:t>ülkeleri</w:t>
      </w:r>
      <w:r w:rsidRPr="004352A9">
        <w:rPr>
          <w:rFonts w:ascii="Arial" w:hAnsi="Arial" w:cs="Arial"/>
          <w:sz w:val="24"/>
          <w:szCs w:val="24"/>
          <w:lang w:val="tr-TR"/>
        </w:rPr>
        <w:t xml:space="preserve"> olduğunu, göçmenlerin gönderdikleri paraların temel faydalanıcısı oldukları (2015 yılı için 450 milyar dolara yakın) ve küresel göçün başlıca oyuncularından oldukları da gözden </w:t>
      </w:r>
      <w:r w:rsidR="00AD3336">
        <w:rPr>
          <w:rFonts w:ascii="Arial" w:hAnsi="Arial" w:cs="Arial"/>
          <w:sz w:val="24"/>
          <w:szCs w:val="24"/>
          <w:lang w:val="tr-TR"/>
        </w:rPr>
        <w:t>kaçırılmaktadır</w:t>
      </w:r>
      <w:r w:rsidRPr="004352A9">
        <w:rPr>
          <w:rFonts w:ascii="Arial" w:hAnsi="Arial" w:cs="Arial"/>
          <w:sz w:val="24"/>
          <w:szCs w:val="24"/>
          <w:lang w:val="tr-TR"/>
        </w:rPr>
        <w:t xml:space="preserve">. </w:t>
      </w:r>
    </w:p>
    <w:p w14:paraId="467A470B" w14:textId="4DC21279" w:rsidR="007D2F2F" w:rsidRPr="004352A9" w:rsidRDefault="007D2F2F" w:rsidP="007D2F2F">
      <w:pPr>
        <w:spacing w:after="0"/>
        <w:jc w:val="both"/>
        <w:rPr>
          <w:rFonts w:ascii="Arial" w:hAnsi="Arial" w:cs="Arial"/>
          <w:sz w:val="10"/>
          <w:szCs w:val="10"/>
          <w:lang w:val="tr-TR"/>
        </w:rPr>
      </w:pPr>
    </w:p>
    <w:p w14:paraId="71DADB72" w14:textId="6FD0F8CB" w:rsidR="004420F9" w:rsidRPr="00F1095F" w:rsidRDefault="00094359" w:rsidP="00F1095F">
      <w:pPr>
        <w:pStyle w:val="ListeParagraf"/>
        <w:numPr>
          <w:ilvl w:val="0"/>
          <w:numId w:val="17"/>
        </w:numPr>
        <w:spacing w:after="0"/>
        <w:jc w:val="both"/>
        <w:rPr>
          <w:rFonts w:ascii="Arial" w:hAnsi="Arial" w:cs="Arial"/>
          <w:sz w:val="24"/>
          <w:szCs w:val="28"/>
          <w:lang w:val="tr-TR"/>
        </w:rPr>
      </w:pPr>
      <w:r w:rsidRPr="00F1095F">
        <w:rPr>
          <w:rFonts w:ascii="Arial" w:hAnsi="Arial" w:cs="Arial"/>
          <w:sz w:val="24"/>
          <w:lang w:val="tr-TR"/>
        </w:rPr>
        <w:t xml:space="preserve">Homo erectus Afrika’dan </w:t>
      </w:r>
      <w:r w:rsidR="009F663E" w:rsidRPr="00F1095F">
        <w:rPr>
          <w:rFonts w:ascii="Arial" w:hAnsi="Arial" w:cs="Arial"/>
          <w:sz w:val="24"/>
          <w:lang w:val="tr-TR"/>
        </w:rPr>
        <w:t>ayrıldığından</w:t>
      </w:r>
      <w:r w:rsidRPr="00F1095F">
        <w:rPr>
          <w:rFonts w:ascii="Arial" w:hAnsi="Arial" w:cs="Arial"/>
          <w:sz w:val="24"/>
          <w:lang w:val="tr-TR"/>
        </w:rPr>
        <w:t xml:space="preserve"> bu yana insan göçü</w:t>
      </w:r>
      <w:r w:rsidR="00AD3336" w:rsidRPr="00F1095F">
        <w:rPr>
          <w:rFonts w:ascii="Arial" w:hAnsi="Arial" w:cs="Arial"/>
          <w:sz w:val="24"/>
          <w:lang w:val="tr-TR"/>
        </w:rPr>
        <w:t>,</w:t>
      </w:r>
      <w:r w:rsidRPr="00F1095F">
        <w:rPr>
          <w:rFonts w:ascii="Arial" w:hAnsi="Arial" w:cs="Arial"/>
          <w:sz w:val="24"/>
          <w:lang w:val="tr-TR"/>
        </w:rPr>
        <w:t xml:space="preserve"> ekonomik büyümenin ve kültürel değişimin can damarı olmuştur.</w:t>
      </w:r>
      <w:r w:rsidR="00083377" w:rsidRPr="00F1095F">
        <w:rPr>
          <w:rFonts w:ascii="Arial" w:hAnsi="Arial" w:cs="Arial"/>
          <w:sz w:val="24"/>
          <w:lang w:val="tr-TR"/>
        </w:rPr>
        <w:t xml:space="preserve"> </w:t>
      </w:r>
      <w:r w:rsidRPr="00F1095F">
        <w:rPr>
          <w:rFonts w:ascii="Arial" w:hAnsi="Arial" w:cs="Arial"/>
          <w:sz w:val="24"/>
          <w:lang w:val="tr-TR"/>
        </w:rPr>
        <w:t xml:space="preserve">Fakat </w:t>
      </w:r>
      <w:r w:rsidR="004420F9" w:rsidRPr="00F1095F">
        <w:rPr>
          <w:rFonts w:ascii="Arial" w:hAnsi="Arial" w:cs="Arial"/>
          <w:sz w:val="24"/>
          <w:lang w:val="tr-TR"/>
        </w:rPr>
        <w:t xml:space="preserve">en zenginleri de dahil olmak üzere </w:t>
      </w:r>
      <w:r w:rsidRPr="00F1095F">
        <w:rPr>
          <w:rFonts w:ascii="Arial" w:hAnsi="Arial" w:cs="Arial"/>
          <w:sz w:val="24"/>
          <w:lang w:val="tr-TR"/>
        </w:rPr>
        <w:t>göç alan ülkeler</w:t>
      </w:r>
      <w:r w:rsidR="004420F9" w:rsidRPr="00F1095F">
        <w:rPr>
          <w:rFonts w:ascii="Arial" w:hAnsi="Arial" w:cs="Arial"/>
          <w:sz w:val="24"/>
          <w:lang w:val="tr-TR"/>
        </w:rPr>
        <w:t>, güvenli sın</w:t>
      </w:r>
      <w:r w:rsidR="00F1095F" w:rsidRPr="00F1095F">
        <w:rPr>
          <w:rFonts w:ascii="Arial" w:hAnsi="Arial" w:cs="Arial"/>
          <w:sz w:val="24"/>
          <w:lang w:val="tr-TR"/>
        </w:rPr>
        <w:t xml:space="preserve">ırlara ve sığınmacı ve göçmenlere şefkate dayalı </w:t>
      </w:r>
      <w:r w:rsidR="004420F9" w:rsidRPr="00F1095F">
        <w:rPr>
          <w:rFonts w:ascii="Arial" w:hAnsi="Arial" w:cs="Arial"/>
          <w:sz w:val="24"/>
          <w:lang w:val="tr-TR"/>
        </w:rPr>
        <w:t>uyumlu sosyal dokular</w:t>
      </w:r>
      <w:r w:rsidR="00F1095F" w:rsidRPr="00F1095F">
        <w:rPr>
          <w:rFonts w:ascii="Arial" w:hAnsi="Arial" w:cs="Arial"/>
          <w:sz w:val="24"/>
          <w:lang w:val="tr-TR"/>
        </w:rPr>
        <w:t xml:space="preserve">a olan ihtiyaçları ve göçmen becerilerini cezbetmeye dayalı çıkarlarını bağdaştırmakta </w:t>
      </w:r>
      <w:r w:rsidR="004420F9" w:rsidRPr="00F1095F">
        <w:rPr>
          <w:rFonts w:ascii="Arial" w:hAnsi="Arial" w:cs="Arial"/>
          <w:sz w:val="24"/>
          <w:lang w:val="tr-TR"/>
        </w:rPr>
        <w:t xml:space="preserve">zorlanmış, hatta birçok </w:t>
      </w:r>
      <w:r w:rsidR="009F663E" w:rsidRPr="00F1095F">
        <w:rPr>
          <w:rFonts w:ascii="Arial" w:hAnsi="Arial" w:cs="Arial"/>
          <w:sz w:val="24"/>
          <w:lang w:val="tr-TR"/>
        </w:rPr>
        <w:t>noktada başarısız</w:t>
      </w:r>
      <w:r w:rsidR="004420F9" w:rsidRPr="00F1095F">
        <w:rPr>
          <w:rFonts w:ascii="Arial" w:hAnsi="Arial" w:cs="Arial"/>
          <w:sz w:val="24"/>
          <w:lang w:val="tr-TR"/>
        </w:rPr>
        <w:t xml:space="preserve"> olmuştur. </w:t>
      </w:r>
    </w:p>
    <w:p w14:paraId="3721953F" w14:textId="77777777" w:rsidR="00AF415B" w:rsidRPr="004352A9" w:rsidRDefault="00AF415B" w:rsidP="00AF415B">
      <w:pPr>
        <w:pStyle w:val="ListeParagraf"/>
        <w:spacing w:after="0"/>
        <w:ind w:left="0"/>
        <w:jc w:val="both"/>
        <w:rPr>
          <w:rFonts w:ascii="Arial" w:hAnsi="Arial" w:cs="Arial"/>
          <w:sz w:val="10"/>
          <w:szCs w:val="10"/>
          <w:lang w:val="tr-TR"/>
        </w:rPr>
      </w:pPr>
    </w:p>
    <w:p w14:paraId="30EDE107" w14:textId="559E8DDF" w:rsidR="00B35B97" w:rsidRPr="00E367AD" w:rsidRDefault="004420F9" w:rsidP="00E367AD">
      <w:pPr>
        <w:pStyle w:val="ListeParagraf"/>
        <w:numPr>
          <w:ilvl w:val="0"/>
          <w:numId w:val="17"/>
        </w:numPr>
        <w:spacing w:after="0"/>
        <w:jc w:val="both"/>
        <w:rPr>
          <w:rFonts w:ascii="Arial" w:hAnsi="Arial" w:cs="Arial"/>
          <w:sz w:val="24"/>
          <w:szCs w:val="28"/>
          <w:lang w:val="tr-TR"/>
        </w:rPr>
      </w:pPr>
      <w:r w:rsidRPr="00E367AD">
        <w:rPr>
          <w:rFonts w:ascii="Arial" w:hAnsi="Arial" w:cs="Arial"/>
          <w:sz w:val="24"/>
          <w:szCs w:val="28"/>
          <w:lang w:val="tr-TR"/>
        </w:rPr>
        <w:t>Bazı gelişmiş ülkelerde</w:t>
      </w:r>
      <w:r w:rsidR="00F1095F" w:rsidRPr="00E367AD">
        <w:rPr>
          <w:rFonts w:ascii="Arial" w:hAnsi="Arial" w:cs="Arial"/>
          <w:sz w:val="24"/>
          <w:szCs w:val="28"/>
          <w:lang w:val="tr-TR"/>
        </w:rPr>
        <w:t xml:space="preserve"> (örn. ABD)</w:t>
      </w:r>
      <w:r w:rsidRPr="00E367AD">
        <w:rPr>
          <w:rFonts w:ascii="Arial" w:hAnsi="Arial" w:cs="Arial"/>
          <w:sz w:val="24"/>
          <w:szCs w:val="28"/>
          <w:lang w:val="tr-TR"/>
        </w:rPr>
        <w:t xml:space="preserve"> ve bazı yükselen pazarlarda</w:t>
      </w:r>
      <w:r w:rsidR="00F1095F" w:rsidRPr="00E367AD">
        <w:rPr>
          <w:rFonts w:ascii="Arial" w:hAnsi="Arial" w:cs="Arial"/>
          <w:sz w:val="24"/>
          <w:szCs w:val="28"/>
          <w:lang w:val="tr-TR"/>
        </w:rPr>
        <w:t xml:space="preserve"> (örn. Polonya ve Macaristan)</w:t>
      </w:r>
      <w:r w:rsidRPr="00E367AD">
        <w:rPr>
          <w:rFonts w:ascii="Arial" w:hAnsi="Arial" w:cs="Arial"/>
          <w:sz w:val="24"/>
          <w:szCs w:val="28"/>
          <w:lang w:val="tr-TR"/>
        </w:rPr>
        <w:t xml:space="preserve"> göçmen girişine karşı bariyerler yükselmektedir ve göçmenlerin haklarının kısıtlanması, zincirleme göçün törpülenmesi, işveren istismarlarının görmezden gelinmesi, sağlık, eğitim, barınma </w:t>
      </w:r>
      <w:r w:rsidR="009F663E" w:rsidRPr="00E367AD">
        <w:rPr>
          <w:rFonts w:ascii="Arial" w:hAnsi="Arial" w:cs="Arial"/>
          <w:sz w:val="24"/>
          <w:szCs w:val="28"/>
          <w:lang w:val="tr-TR"/>
        </w:rPr>
        <w:t>ve sosyal</w:t>
      </w:r>
      <w:r w:rsidRPr="00E367AD">
        <w:rPr>
          <w:rFonts w:ascii="Arial" w:hAnsi="Arial" w:cs="Arial"/>
          <w:sz w:val="24"/>
          <w:szCs w:val="28"/>
          <w:lang w:val="tr-TR"/>
        </w:rPr>
        <w:t xml:space="preserve"> hizmetlerin sınırlanması ve insan ticareti ve köleliğe göz yumma gibi olumsuz tavırlar </w:t>
      </w:r>
      <w:r w:rsidR="00E367AD">
        <w:rPr>
          <w:rFonts w:ascii="Arial" w:hAnsi="Arial" w:cs="Arial"/>
          <w:sz w:val="24"/>
          <w:szCs w:val="28"/>
          <w:lang w:val="tr-TR"/>
        </w:rPr>
        <w:t>sertleşmektedir</w:t>
      </w:r>
      <w:r w:rsidRPr="00E367AD">
        <w:rPr>
          <w:rFonts w:ascii="Arial" w:hAnsi="Arial" w:cs="Arial"/>
          <w:sz w:val="24"/>
          <w:szCs w:val="28"/>
          <w:lang w:val="tr-TR"/>
        </w:rPr>
        <w:t xml:space="preserve">. </w:t>
      </w:r>
    </w:p>
    <w:p w14:paraId="245E2E75" w14:textId="77777777" w:rsidR="006C4B78" w:rsidRPr="004352A9" w:rsidRDefault="006C4B78" w:rsidP="006C4B78">
      <w:pPr>
        <w:pStyle w:val="ListeParagraf"/>
        <w:rPr>
          <w:rFonts w:ascii="Arial" w:hAnsi="Arial" w:cs="Arial"/>
          <w:sz w:val="10"/>
          <w:szCs w:val="28"/>
          <w:lang w:val="tr-TR"/>
        </w:rPr>
      </w:pPr>
    </w:p>
    <w:p w14:paraId="7063A0B5" w14:textId="556F5379" w:rsidR="00AF415B" w:rsidRPr="004352A9" w:rsidRDefault="004420F9" w:rsidP="00AD3336">
      <w:pPr>
        <w:pStyle w:val="ListeParagraf"/>
        <w:numPr>
          <w:ilvl w:val="0"/>
          <w:numId w:val="17"/>
        </w:numPr>
        <w:spacing w:after="0"/>
        <w:jc w:val="both"/>
        <w:rPr>
          <w:rFonts w:ascii="Arial" w:hAnsi="Arial" w:cs="Arial"/>
          <w:sz w:val="24"/>
          <w:szCs w:val="28"/>
          <w:lang w:val="tr-TR"/>
        </w:rPr>
      </w:pPr>
      <w:r w:rsidRPr="004352A9">
        <w:rPr>
          <w:rFonts w:ascii="Arial" w:hAnsi="Arial" w:cs="Arial"/>
          <w:sz w:val="24"/>
          <w:szCs w:val="28"/>
          <w:lang w:val="tr-TR"/>
        </w:rPr>
        <w:t xml:space="preserve">Göç alan ülkelerin siyasi liderleri basın, medya ve sosyal medyanın da cesaretlendirmesiyle, göçmenleri iş çalan, yardım istismar eden, kaçakçı, suçlu, tecavüzcü, </w:t>
      </w:r>
      <w:r w:rsidR="009F663E" w:rsidRPr="004352A9">
        <w:rPr>
          <w:rFonts w:ascii="Arial" w:hAnsi="Arial" w:cs="Arial"/>
          <w:sz w:val="24"/>
          <w:szCs w:val="28"/>
          <w:lang w:val="tr-TR"/>
        </w:rPr>
        <w:t>terörist</w:t>
      </w:r>
      <w:r w:rsidRPr="004352A9">
        <w:rPr>
          <w:rFonts w:ascii="Arial" w:hAnsi="Arial" w:cs="Arial"/>
          <w:sz w:val="24"/>
          <w:szCs w:val="28"/>
          <w:lang w:val="tr-TR"/>
        </w:rPr>
        <w:t xml:space="preserve"> ve ulusal sağlık, güvenlik ve kimliğe teh</w:t>
      </w:r>
      <w:r w:rsidR="009F663E" w:rsidRPr="004352A9">
        <w:rPr>
          <w:rFonts w:ascii="Arial" w:hAnsi="Arial" w:cs="Arial"/>
          <w:sz w:val="24"/>
          <w:szCs w:val="28"/>
          <w:lang w:val="tr-TR"/>
        </w:rPr>
        <w:t>dit olarak şeytanlaştırmaktalar</w:t>
      </w:r>
      <w:r w:rsidRPr="004352A9">
        <w:rPr>
          <w:rFonts w:ascii="Arial" w:hAnsi="Arial" w:cs="Arial"/>
          <w:sz w:val="24"/>
          <w:szCs w:val="28"/>
          <w:lang w:val="tr-TR"/>
        </w:rPr>
        <w:t xml:space="preserve">. Göçmenlerin tarih boyunca kültürel, entelektüel, </w:t>
      </w:r>
      <w:r w:rsidR="00AD3336">
        <w:rPr>
          <w:rFonts w:ascii="Arial" w:hAnsi="Arial" w:cs="Arial"/>
          <w:sz w:val="24"/>
          <w:szCs w:val="28"/>
          <w:lang w:val="tr-TR"/>
        </w:rPr>
        <w:t>girişimci</w:t>
      </w:r>
      <w:r w:rsidRPr="004352A9">
        <w:rPr>
          <w:rFonts w:ascii="Arial" w:hAnsi="Arial" w:cs="Arial"/>
          <w:sz w:val="24"/>
          <w:szCs w:val="28"/>
          <w:lang w:val="tr-TR"/>
        </w:rPr>
        <w:t xml:space="preserve"> ve teknolojik katkılarının üstünü </w:t>
      </w:r>
      <w:r w:rsidR="00AD3336">
        <w:rPr>
          <w:rFonts w:ascii="Arial" w:hAnsi="Arial" w:cs="Arial"/>
          <w:sz w:val="24"/>
          <w:szCs w:val="28"/>
          <w:lang w:val="tr-TR"/>
        </w:rPr>
        <w:t>örtülüyor</w:t>
      </w:r>
      <w:r w:rsidR="00405D8E" w:rsidRPr="004352A9">
        <w:rPr>
          <w:rFonts w:ascii="Arial" w:hAnsi="Arial" w:cs="Arial"/>
          <w:sz w:val="24"/>
          <w:szCs w:val="28"/>
          <w:lang w:val="tr-TR"/>
        </w:rPr>
        <w:t>.</w:t>
      </w:r>
      <w:r w:rsidRPr="004352A9">
        <w:rPr>
          <w:rFonts w:ascii="Arial" w:hAnsi="Arial" w:cs="Arial"/>
          <w:sz w:val="24"/>
          <w:szCs w:val="28"/>
          <w:lang w:val="tr-TR"/>
        </w:rPr>
        <w:t xml:space="preserve"> </w:t>
      </w:r>
      <w:r w:rsidR="00AD3336">
        <w:rPr>
          <w:rFonts w:ascii="Arial" w:hAnsi="Arial" w:cs="Arial"/>
          <w:sz w:val="24"/>
          <w:szCs w:val="28"/>
          <w:lang w:val="tr-TR"/>
        </w:rPr>
        <w:t>Ayrıca</w:t>
      </w:r>
      <w:r w:rsidR="009F663E" w:rsidRPr="004352A9">
        <w:rPr>
          <w:rFonts w:ascii="Arial" w:hAnsi="Arial" w:cs="Arial"/>
          <w:sz w:val="24"/>
          <w:szCs w:val="28"/>
          <w:lang w:val="tr-TR"/>
        </w:rPr>
        <w:t xml:space="preserve"> göçmenlerin iş </w:t>
      </w:r>
      <w:r w:rsidR="00AD3336" w:rsidRPr="004352A9">
        <w:rPr>
          <w:rFonts w:ascii="Arial" w:hAnsi="Arial" w:cs="Arial"/>
          <w:sz w:val="24"/>
          <w:szCs w:val="28"/>
          <w:lang w:val="tr-TR"/>
        </w:rPr>
        <w:t>güvencesinden</w:t>
      </w:r>
      <w:r w:rsidR="009F663E" w:rsidRPr="004352A9">
        <w:rPr>
          <w:rFonts w:ascii="Arial" w:hAnsi="Arial" w:cs="Arial"/>
          <w:sz w:val="24"/>
          <w:szCs w:val="28"/>
          <w:lang w:val="tr-TR"/>
        </w:rPr>
        <w:t xml:space="preserve"> yoksunluk, uzun çalışma saatler, düşük maaş, kötü çalışma koşulları, insan hakları ihlalleri, istismar, ayrımcılık ve özellikle kadın ve çocuklara yönelik sömürüden kaynaklanan yoğun kırılganlıklarını görmezden </w:t>
      </w:r>
      <w:r w:rsidR="00AD3336">
        <w:rPr>
          <w:rFonts w:ascii="Arial" w:hAnsi="Arial" w:cs="Arial"/>
          <w:sz w:val="24"/>
          <w:szCs w:val="28"/>
          <w:lang w:val="tr-TR"/>
        </w:rPr>
        <w:t>geliniyor</w:t>
      </w:r>
      <w:r w:rsidR="009F663E" w:rsidRPr="004352A9">
        <w:rPr>
          <w:rFonts w:ascii="Arial" w:hAnsi="Arial" w:cs="Arial"/>
          <w:sz w:val="24"/>
          <w:szCs w:val="28"/>
          <w:lang w:val="tr-TR"/>
        </w:rPr>
        <w:t xml:space="preserve">. </w:t>
      </w:r>
    </w:p>
    <w:p w14:paraId="724BD3FD" w14:textId="77777777" w:rsidR="00AF415B" w:rsidRPr="004352A9" w:rsidRDefault="00AF415B" w:rsidP="00AF415B">
      <w:pPr>
        <w:spacing w:after="0"/>
        <w:ind w:left="-180"/>
        <w:jc w:val="both"/>
        <w:rPr>
          <w:rFonts w:ascii="Arial" w:hAnsi="Arial" w:cs="Arial"/>
          <w:sz w:val="10"/>
          <w:szCs w:val="10"/>
          <w:lang w:val="tr-TR"/>
        </w:rPr>
      </w:pPr>
    </w:p>
    <w:p w14:paraId="31CAEFCF" w14:textId="2AE2257F" w:rsidR="00CE22ED" w:rsidRPr="004352A9" w:rsidRDefault="009F663E" w:rsidP="009F663E">
      <w:pPr>
        <w:pStyle w:val="ListeParagraf"/>
        <w:numPr>
          <w:ilvl w:val="0"/>
          <w:numId w:val="17"/>
        </w:numPr>
        <w:spacing w:after="0"/>
        <w:jc w:val="both"/>
        <w:rPr>
          <w:rFonts w:ascii="Arial" w:hAnsi="Arial" w:cs="Arial"/>
          <w:sz w:val="24"/>
          <w:szCs w:val="28"/>
          <w:lang w:val="tr-TR"/>
        </w:rPr>
      </w:pPr>
      <w:r w:rsidRPr="004352A9">
        <w:rPr>
          <w:rFonts w:ascii="Arial" w:hAnsi="Arial" w:cs="Arial"/>
          <w:sz w:val="24"/>
          <w:lang w:val="tr-TR"/>
        </w:rPr>
        <w:t>Küreselleşme</w:t>
      </w:r>
      <w:r w:rsidR="00AD3336">
        <w:rPr>
          <w:rFonts w:ascii="Arial" w:hAnsi="Arial" w:cs="Arial"/>
          <w:sz w:val="24"/>
          <w:lang w:val="tr-TR"/>
        </w:rPr>
        <w:t>,</w:t>
      </w:r>
      <w:r w:rsidRPr="004352A9">
        <w:rPr>
          <w:rFonts w:ascii="Arial" w:hAnsi="Arial" w:cs="Arial"/>
          <w:sz w:val="24"/>
          <w:lang w:val="tr-TR"/>
        </w:rPr>
        <w:t xml:space="preserve"> artan uluslararası göçmen hareketlilikleri ile ilişkilendirilmiş olsa da etkili ve hakkaniyetli bir uluslararası göç yönetimi ortaya koymamıştır. Göçle ilişkili sorunların azalması/çözümü küresel işbirliğine, küresel işbirliği de egemenliğe takıntılı ulusal liderlerin siyasetlerindeki ve göçmenlere </w:t>
      </w:r>
      <w:r w:rsidR="00205287" w:rsidRPr="004352A9">
        <w:rPr>
          <w:rFonts w:ascii="Arial" w:hAnsi="Arial" w:cs="Arial"/>
          <w:sz w:val="24"/>
          <w:lang w:val="tr-TR"/>
        </w:rPr>
        <w:t>yönelik</w:t>
      </w:r>
      <w:r w:rsidRPr="004352A9">
        <w:rPr>
          <w:rFonts w:ascii="Arial" w:hAnsi="Arial" w:cs="Arial"/>
          <w:sz w:val="24"/>
          <w:lang w:val="tr-TR"/>
        </w:rPr>
        <w:t xml:space="preserve"> kamu tavır ve davranışlarındaki değişime dayanmaktadır. </w:t>
      </w:r>
    </w:p>
    <w:p w14:paraId="5AC95B5C" w14:textId="77777777" w:rsidR="006C4B78" w:rsidRPr="004352A9" w:rsidRDefault="006C4B78" w:rsidP="006C4B78">
      <w:pPr>
        <w:pStyle w:val="ListeParagraf"/>
        <w:rPr>
          <w:rFonts w:ascii="Arial" w:hAnsi="Arial" w:cs="Arial"/>
          <w:sz w:val="10"/>
          <w:szCs w:val="28"/>
          <w:lang w:val="tr-TR"/>
        </w:rPr>
      </w:pPr>
    </w:p>
    <w:p w14:paraId="7C10269B" w14:textId="40C53920" w:rsidR="006C4B78" w:rsidRPr="004352A9" w:rsidRDefault="009F663E" w:rsidP="00061E6F">
      <w:pPr>
        <w:pStyle w:val="ListeParagraf"/>
        <w:widowControl w:val="0"/>
        <w:numPr>
          <w:ilvl w:val="0"/>
          <w:numId w:val="17"/>
        </w:numPr>
        <w:autoSpaceDE w:val="0"/>
        <w:autoSpaceDN w:val="0"/>
        <w:adjustRightInd w:val="0"/>
        <w:spacing w:after="0"/>
        <w:jc w:val="both"/>
        <w:rPr>
          <w:rFonts w:ascii="Arial" w:eastAsia="Times New Roman" w:hAnsi="Arial" w:cs="Arial"/>
          <w:color w:val="000000"/>
          <w:sz w:val="10"/>
          <w:szCs w:val="10"/>
          <w:lang w:val="tr-TR"/>
        </w:rPr>
      </w:pPr>
      <w:r w:rsidRPr="004352A9">
        <w:rPr>
          <w:rFonts w:ascii="Arial" w:hAnsi="Arial" w:cs="Arial"/>
          <w:sz w:val="24"/>
          <w:lang w:val="tr-TR"/>
        </w:rPr>
        <w:t>Uluslararası göçün yönetimi</w:t>
      </w:r>
      <w:r w:rsidR="00AD3336">
        <w:rPr>
          <w:rFonts w:ascii="Arial" w:hAnsi="Arial" w:cs="Arial"/>
          <w:sz w:val="24"/>
          <w:lang w:val="tr-TR"/>
        </w:rPr>
        <w:t>,</w:t>
      </w:r>
      <w:r w:rsidRPr="004352A9">
        <w:rPr>
          <w:rFonts w:ascii="Arial" w:hAnsi="Arial" w:cs="Arial"/>
          <w:sz w:val="24"/>
          <w:lang w:val="tr-TR"/>
        </w:rPr>
        <w:t xml:space="preserve"> eksik </w:t>
      </w:r>
      <w:r w:rsidR="00061E6F" w:rsidRPr="004352A9">
        <w:rPr>
          <w:rFonts w:ascii="Arial" w:hAnsi="Arial" w:cs="Arial"/>
          <w:sz w:val="24"/>
          <w:lang w:val="tr-TR"/>
        </w:rPr>
        <w:t>veri</w:t>
      </w:r>
      <w:r w:rsidRPr="004352A9">
        <w:rPr>
          <w:rFonts w:ascii="Arial" w:hAnsi="Arial" w:cs="Arial"/>
          <w:sz w:val="24"/>
          <w:lang w:val="tr-TR"/>
        </w:rPr>
        <w:t>, zayıf terminoloji, keyfi ayrımlar, mitler</w:t>
      </w:r>
      <w:r w:rsidR="00061E6F" w:rsidRPr="004352A9">
        <w:rPr>
          <w:rFonts w:ascii="Arial" w:hAnsi="Arial" w:cs="Arial"/>
          <w:sz w:val="24"/>
          <w:lang w:val="tr-TR"/>
        </w:rPr>
        <w:t xml:space="preserve"> </w:t>
      </w:r>
      <w:r w:rsidR="00061E6F" w:rsidRPr="004352A9">
        <w:rPr>
          <w:rFonts w:ascii="Arial" w:hAnsi="Arial" w:cs="Arial"/>
          <w:sz w:val="24"/>
          <w:lang w:val="tr-TR"/>
        </w:rPr>
        <w:lastRenderedPageBreak/>
        <w:t>(</w:t>
      </w:r>
      <w:r w:rsidR="00061E6F" w:rsidRPr="00AD3336">
        <w:rPr>
          <w:rFonts w:ascii="Arial" w:hAnsi="Arial" w:cs="Arial"/>
          <w:i/>
          <w:iCs/>
          <w:sz w:val="24"/>
          <w:lang w:val="tr-TR"/>
        </w:rPr>
        <w:t>kanunsuz olarak gelip işsizlik yaratıyorlar, bütçeyi tüketiyorlar, suçu artırıyorlar, yerel değerleri sulandırıyorlar, yerel dilleri bilmiyorlar, temel hizmetleri zorlaştırıyorlar, entegre olmuyorlar….ve asla gitmiyorlar</w:t>
      </w:r>
      <w:r w:rsidR="00061E6F" w:rsidRPr="004352A9">
        <w:rPr>
          <w:rFonts w:ascii="Arial" w:hAnsi="Arial" w:cs="Arial"/>
          <w:sz w:val="24"/>
          <w:lang w:val="tr-TR"/>
        </w:rPr>
        <w:t>)</w:t>
      </w:r>
      <w:r w:rsidRPr="004352A9">
        <w:rPr>
          <w:rFonts w:ascii="Arial" w:hAnsi="Arial" w:cs="Arial"/>
          <w:sz w:val="24"/>
          <w:lang w:val="tr-TR"/>
        </w:rPr>
        <w:t>, temel gerçeklerin bilinmemesi</w:t>
      </w:r>
      <w:r w:rsidR="00061E6F" w:rsidRPr="004352A9">
        <w:rPr>
          <w:rFonts w:ascii="Arial" w:hAnsi="Arial" w:cs="Arial"/>
          <w:sz w:val="24"/>
          <w:lang w:val="tr-TR"/>
        </w:rPr>
        <w:t xml:space="preserve"> (örn. günümüzdeki 245 milyon uluslararası göçmenin %10’u mülteci ve sığınmacı ve kalan sayının üçte biri profesyonel, girişimci, teknik veya diğer yeteneklerini göç alan ülkelere taşımaktalar)</w:t>
      </w:r>
      <w:r w:rsidRPr="004352A9">
        <w:rPr>
          <w:rFonts w:ascii="Arial" w:hAnsi="Arial" w:cs="Arial"/>
          <w:sz w:val="24"/>
          <w:lang w:val="tr-TR"/>
        </w:rPr>
        <w:t xml:space="preserve">, ve göç alan ülkelerin </w:t>
      </w:r>
      <w:r w:rsidR="00061E6F" w:rsidRPr="004352A9">
        <w:rPr>
          <w:rFonts w:ascii="Arial" w:hAnsi="Arial" w:cs="Arial"/>
          <w:sz w:val="24"/>
          <w:lang w:val="tr-TR"/>
        </w:rPr>
        <w:t>artan bir şekilde (doğum oranı düşmeye ve ortalama ömür yükselmeye devam ettikçe) kaynak ülkelerde yetenek ve pazar arayacağı gerçeğinin anlaşılmaması sebebiyle sekteye uğramaktadır</w:t>
      </w:r>
      <w:r w:rsidR="00405D8E" w:rsidRPr="004352A9">
        <w:rPr>
          <w:rFonts w:ascii="Arial" w:hAnsi="Arial" w:cs="Arial"/>
          <w:sz w:val="24"/>
          <w:szCs w:val="24"/>
          <w:lang w:val="tr-TR"/>
        </w:rPr>
        <w:t>.</w:t>
      </w:r>
    </w:p>
    <w:p w14:paraId="040030A2" w14:textId="77777777" w:rsidR="00C10992" w:rsidRPr="004352A9" w:rsidRDefault="00C10992" w:rsidP="00C10992">
      <w:pPr>
        <w:pStyle w:val="ListeParagraf"/>
        <w:rPr>
          <w:rFonts w:ascii="Arial" w:hAnsi="Arial" w:cs="Arial"/>
          <w:sz w:val="10"/>
          <w:szCs w:val="16"/>
          <w:lang w:val="tr-TR"/>
        </w:rPr>
      </w:pPr>
    </w:p>
    <w:p w14:paraId="535B1D39" w14:textId="725F3424" w:rsidR="006C4B78" w:rsidRPr="004352A9" w:rsidRDefault="00061E6F" w:rsidP="00AD3336">
      <w:pPr>
        <w:pStyle w:val="ListeParagraf"/>
        <w:numPr>
          <w:ilvl w:val="0"/>
          <w:numId w:val="17"/>
        </w:numPr>
        <w:spacing w:after="0"/>
        <w:jc w:val="both"/>
        <w:rPr>
          <w:rFonts w:ascii="Arial" w:hAnsi="Arial" w:cs="Arial"/>
          <w:color w:val="000000" w:themeColor="text1"/>
          <w:sz w:val="12"/>
          <w:lang w:val="tr-TR"/>
        </w:rPr>
      </w:pPr>
      <w:r w:rsidRPr="004352A9">
        <w:rPr>
          <w:rFonts w:ascii="Arial" w:hAnsi="Arial" w:cs="Arial"/>
          <w:sz w:val="24"/>
          <w:lang w:val="tr-TR"/>
        </w:rPr>
        <w:t xml:space="preserve">Kapanış konuşmasını yapan eski Pakistan </w:t>
      </w:r>
      <w:r w:rsidR="00E55CE9" w:rsidRPr="004352A9">
        <w:rPr>
          <w:rFonts w:ascii="Arial" w:hAnsi="Arial" w:cs="Arial"/>
          <w:sz w:val="24"/>
          <w:lang w:val="tr-TR"/>
        </w:rPr>
        <w:t>Başbakanı</w:t>
      </w:r>
      <w:r w:rsidRPr="004352A9">
        <w:rPr>
          <w:rFonts w:ascii="Arial" w:hAnsi="Arial" w:cs="Arial"/>
          <w:sz w:val="24"/>
          <w:lang w:val="tr-TR"/>
        </w:rPr>
        <w:t xml:space="preserve"> ve Yükselen Pazarlar Sempozyumu Başkanı H.E. Shaukat Aziz ‘</w:t>
      </w:r>
      <w:r w:rsidRPr="00AD3336">
        <w:rPr>
          <w:rFonts w:ascii="Arial" w:hAnsi="Arial" w:cs="Arial"/>
          <w:i/>
          <w:iCs/>
          <w:sz w:val="24"/>
          <w:lang w:val="tr-TR"/>
        </w:rPr>
        <w:t>’Benim neslim</w:t>
      </w:r>
      <w:r w:rsidR="00AD3336" w:rsidRPr="00AD3336">
        <w:rPr>
          <w:rFonts w:ascii="Arial" w:hAnsi="Arial" w:cs="Arial"/>
          <w:i/>
          <w:iCs/>
          <w:sz w:val="24"/>
          <w:lang w:val="tr-TR"/>
        </w:rPr>
        <w:t>,</w:t>
      </w:r>
      <w:r w:rsidRPr="00AD3336">
        <w:rPr>
          <w:rFonts w:ascii="Arial" w:hAnsi="Arial" w:cs="Arial"/>
          <w:i/>
          <w:iCs/>
          <w:sz w:val="24"/>
          <w:lang w:val="tr-TR"/>
        </w:rPr>
        <w:t xml:space="preserve"> tenekeleri çocuklarımız ve torunlarımız tarafından toplanmak üzere yoldan aşağı fırlatmasıyla sivrildi. Geçtiğimiz yıl, </w:t>
      </w:r>
      <w:r w:rsidR="00E55CE9" w:rsidRPr="00AD3336">
        <w:rPr>
          <w:rFonts w:ascii="Arial" w:hAnsi="Arial" w:cs="Arial"/>
          <w:i/>
          <w:iCs/>
          <w:sz w:val="24"/>
          <w:lang w:val="tr-TR"/>
        </w:rPr>
        <w:t>çevresel</w:t>
      </w:r>
      <w:r w:rsidRPr="00AD3336">
        <w:rPr>
          <w:rFonts w:ascii="Arial" w:hAnsi="Arial" w:cs="Arial"/>
          <w:i/>
          <w:iCs/>
          <w:sz w:val="24"/>
          <w:lang w:val="tr-TR"/>
        </w:rPr>
        <w:t xml:space="preserve"> ahmaklığımızın ceremesini torunlarımıza miras </w:t>
      </w:r>
      <w:r w:rsidR="00AD3336" w:rsidRPr="00AD3336">
        <w:rPr>
          <w:rFonts w:ascii="Arial" w:hAnsi="Arial" w:cs="Arial"/>
          <w:i/>
          <w:iCs/>
          <w:sz w:val="24"/>
          <w:lang w:val="tr-TR"/>
        </w:rPr>
        <w:t>bıraktığımızı</w:t>
      </w:r>
      <w:r w:rsidRPr="00AD3336">
        <w:rPr>
          <w:rFonts w:ascii="Arial" w:hAnsi="Arial" w:cs="Arial"/>
          <w:i/>
          <w:iCs/>
          <w:sz w:val="24"/>
          <w:lang w:val="tr-TR"/>
        </w:rPr>
        <w:t xml:space="preserve"> kabullendik. Burada şimdi kendimizi</w:t>
      </w:r>
      <w:r w:rsidR="00E55CE9" w:rsidRPr="00AD3336">
        <w:rPr>
          <w:rFonts w:ascii="Arial" w:hAnsi="Arial" w:cs="Arial"/>
          <w:i/>
          <w:iCs/>
          <w:sz w:val="24"/>
          <w:lang w:val="tr-TR"/>
        </w:rPr>
        <w:t>,</w:t>
      </w:r>
      <w:r w:rsidRPr="00AD3336">
        <w:rPr>
          <w:rFonts w:ascii="Arial" w:hAnsi="Arial" w:cs="Arial"/>
          <w:i/>
          <w:iCs/>
          <w:sz w:val="24"/>
          <w:lang w:val="tr-TR"/>
        </w:rPr>
        <w:t xml:space="preserve"> </w:t>
      </w:r>
      <w:r w:rsidR="00E55CE9" w:rsidRPr="00AD3336">
        <w:rPr>
          <w:rFonts w:ascii="Arial" w:hAnsi="Arial" w:cs="Arial"/>
          <w:i/>
          <w:iCs/>
          <w:sz w:val="24"/>
          <w:lang w:val="tr-TR"/>
        </w:rPr>
        <w:t>Marakeş’ten başlamak üzere, dünyayı göçle ilişkili sorunların çözümüne ikna etmeye adamalıyız.</w:t>
      </w:r>
      <w:r w:rsidR="00E55CE9" w:rsidRPr="004352A9">
        <w:rPr>
          <w:rFonts w:ascii="Arial" w:hAnsi="Arial" w:cs="Arial"/>
          <w:sz w:val="24"/>
          <w:lang w:val="tr-TR"/>
        </w:rPr>
        <w:t xml:space="preserve">’’ dedi. </w:t>
      </w:r>
    </w:p>
    <w:p w14:paraId="22CF904E" w14:textId="6D5D7E36" w:rsidR="006C4B78" w:rsidRPr="004352A9" w:rsidRDefault="00205287" w:rsidP="005D32DC">
      <w:pPr>
        <w:spacing w:after="0"/>
        <w:jc w:val="both"/>
        <w:rPr>
          <w:rFonts w:ascii="Cambria" w:hAnsi="Cambria" w:cs="Arial"/>
          <w:b/>
          <w:color w:val="000000" w:themeColor="text1"/>
          <w:sz w:val="28"/>
          <w:lang w:val="tr-TR"/>
        </w:rPr>
      </w:pPr>
      <w:r w:rsidRPr="004352A9">
        <w:rPr>
          <w:rFonts w:ascii="Cambria" w:hAnsi="Cambria" w:cs="Arial"/>
          <w:b/>
          <w:color w:val="000000" w:themeColor="text1"/>
          <w:sz w:val="28"/>
          <w:lang w:val="tr-TR"/>
        </w:rPr>
        <w:t>Tavsiyeler</w:t>
      </w:r>
    </w:p>
    <w:p w14:paraId="281E43DE" w14:textId="7F60749F" w:rsidR="00DE52D7" w:rsidRPr="004352A9" w:rsidRDefault="00274462" w:rsidP="004F734E">
      <w:pPr>
        <w:pStyle w:val="ListeParagraf"/>
        <w:numPr>
          <w:ilvl w:val="0"/>
          <w:numId w:val="28"/>
        </w:numPr>
        <w:spacing w:after="0"/>
        <w:jc w:val="both"/>
        <w:rPr>
          <w:rFonts w:ascii="Arial" w:hAnsi="Arial" w:cs="Arial"/>
          <w:sz w:val="10"/>
          <w:lang w:val="tr-TR"/>
        </w:rPr>
      </w:pPr>
      <w:r w:rsidRPr="004352A9">
        <w:rPr>
          <w:rFonts w:ascii="Arial" w:hAnsi="Arial" w:cs="Arial"/>
          <w:sz w:val="24"/>
          <w:lang w:val="tr-TR"/>
        </w:rPr>
        <w:t xml:space="preserve">Yükselen pazarlar 2018 Aralık ayında Fas’ın Marakeş şehrinde düzenlenecek olan </w:t>
      </w:r>
      <w:r w:rsidRPr="00AD3336">
        <w:rPr>
          <w:rFonts w:ascii="Arial" w:hAnsi="Arial" w:cs="Arial"/>
          <w:i/>
          <w:iCs/>
          <w:sz w:val="24"/>
          <w:lang w:val="tr-TR"/>
        </w:rPr>
        <w:t xml:space="preserve">Göç İçin </w:t>
      </w:r>
      <w:r w:rsidR="004F734E">
        <w:rPr>
          <w:rFonts w:ascii="Arial" w:hAnsi="Arial" w:cs="Arial"/>
          <w:i/>
          <w:iCs/>
          <w:sz w:val="24"/>
          <w:lang w:val="tr-TR"/>
        </w:rPr>
        <w:t>Global Compact</w:t>
      </w:r>
      <w:r w:rsidRPr="004352A9">
        <w:rPr>
          <w:rFonts w:ascii="Arial" w:hAnsi="Arial" w:cs="Arial"/>
          <w:sz w:val="24"/>
          <w:lang w:val="tr-TR"/>
        </w:rPr>
        <w:t xml:space="preserve"> onaylamalıdır. BM’nin Eylül 2016 tarihli </w:t>
      </w:r>
      <w:r w:rsidRPr="00AD3336">
        <w:rPr>
          <w:rFonts w:ascii="Arial" w:hAnsi="Arial" w:cs="Arial"/>
          <w:i/>
          <w:iCs/>
          <w:sz w:val="24"/>
          <w:lang w:val="tr-TR"/>
        </w:rPr>
        <w:t xml:space="preserve">New York Mülteciler ve Göç </w:t>
      </w:r>
      <w:r w:rsidR="00205287" w:rsidRPr="00AD3336">
        <w:rPr>
          <w:rFonts w:ascii="Arial" w:hAnsi="Arial" w:cs="Arial"/>
          <w:i/>
          <w:iCs/>
          <w:sz w:val="24"/>
          <w:lang w:val="tr-TR"/>
        </w:rPr>
        <w:t>Bildirgesi’nden</w:t>
      </w:r>
      <w:r w:rsidRPr="004352A9">
        <w:rPr>
          <w:rFonts w:ascii="Arial" w:hAnsi="Arial" w:cs="Arial"/>
          <w:sz w:val="24"/>
          <w:lang w:val="tr-TR"/>
        </w:rPr>
        <w:t xml:space="preserve"> temelini alan Anlaşma (potansiyel önemine göre </w:t>
      </w:r>
      <w:r w:rsidR="00205287" w:rsidRPr="004352A9">
        <w:rPr>
          <w:rFonts w:ascii="Arial" w:hAnsi="Arial" w:cs="Arial"/>
          <w:sz w:val="24"/>
          <w:lang w:val="tr-TR"/>
        </w:rPr>
        <w:t xml:space="preserve">değerlendirildiğinde </w:t>
      </w:r>
      <w:r w:rsidRPr="004352A9">
        <w:rPr>
          <w:rFonts w:ascii="Arial" w:hAnsi="Arial" w:cs="Arial"/>
          <w:sz w:val="24"/>
          <w:lang w:val="tr-TR"/>
        </w:rPr>
        <w:t>çok az</w:t>
      </w:r>
      <w:r w:rsidR="00205287" w:rsidRPr="004352A9">
        <w:rPr>
          <w:rFonts w:ascii="Arial" w:hAnsi="Arial" w:cs="Arial"/>
          <w:sz w:val="24"/>
          <w:lang w:val="tr-TR"/>
        </w:rPr>
        <w:t xml:space="preserve"> küresel</w:t>
      </w:r>
      <w:r w:rsidRPr="004352A9">
        <w:rPr>
          <w:rFonts w:ascii="Arial" w:hAnsi="Arial" w:cs="Arial"/>
          <w:sz w:val="24"/>
          <w:lang w:val="tr-TR"/>
        </w:rPr>
        <w:t xml:space="preserve"> ilgi gören), uygulanması </w:t>
      </w:r>
      <w:r w:rsidR="00205287" w:rsidRPr="004352A9">
        <w:rPr>
          <w:rFonts w:ascii="Arial" w:hAnsi="Arial" w:cs="Arial"/>
          <w:sz w:val="24"/>
          <w:lang w:val="tr-TR"/>
        </w:rPr>
        <w:t>halinde</w:t>
      </w:r>
      <w:r w:rsidRPr="004352A9">
        <w:rPr>
          <w:rFonts w:ascii="Arial" w:hAnsi="Arial" w:cs="Arial"/>
          <w:sz w:val="24"/>
          <w:lang w:val="tr-TR"/>
        </w:rPr>
        <w:t xml:space="preserve"> güvenli, kurallı ve düzenli göç çerçevesini (</w:t>
      </w:r>
      <w:r w:rsidR="00205287" w:rsidRPr="004352A9">
        <w:rPr>
          <w:rFonts w:ascii="Arial" w:hAnsi="Arial" w:cs="Arial"/>
          <w:sz w:val="24"/>
          <w:lang w:val="tr-TR"/>
        </w:rPr>
        <w:t>bağlayıcı</w:t>
      </w:r>
      <w:r w:rsidRPr="004352A9">
        <w:rPr>
          <w:rFonts w:ascii="Arial" w:hAnsi="Arial" w:cs="Arial"/>
          <w:sz w:val="24"/>
          <w:lang w:val="tr-TR"/>
        </w:rPr>
        <w:t xml:space="preserve"> olmayan) sağlayacak</w:t>
      </w:r>
      <w:r w:rsidR="0092348D" w:rsidRPr="004352A9">
        <w:rPr>
          <w:rFonts w:ascii="Arial" w:hAnsi="Arial" w:cs="Arial"/>
          <w:sz w:val="24"/>
          <w:lang w:val="tr-TR"/>
        </w:rPr>
        <w:t>.</w:t>
      </w:r>
    </w:p>
    <w:p w14:paraId="353AA6DB" w14:textId="7E6837EB" w:rsidR="00C31B48" w:rsidRPr="004352A9" w:rsidRDefault="00205287" w:rsidP="004F734E">
      <w:pPr>
        <w:pStyle w:val="ListeParagraf"/>
        <w:numPr>
          <w:ilvl w:val="0"/>
          <w:numId w:val="25"/>
        </w:numPr>
        <w:jc w:val="both"/>
        <w:rPr>
          <w:rFonts w:ascii="Arial" w:hAnsi="Arial" w:cs="Arial"/>
          <w:i/>
          <w:sz w:val="24"/>
          <w:lang w:val="tr-TR"/>
        </w:rPr>
      </w:pPr>
      <w:r w:rsidRPr="004352A9">
        <w:rPr>
          <w:rFonts w:ascii="Arial" w:hAnsi="Arial" w:cs="Arial"/>
          <w:sz w:val="24"/>
          <w:lang w:val="tr-TR"/>
        </w:rPr>
        <w:t xml:space="preserve">Anlaşma ABD’nin çekilmesi ve AB’nin muhtemel kaçamak desteği ile düşünüldüğünde, artan jeopolitik güçler ve uluslararası göçün hem kaynağı hem de hedefi olarak yükselen pazarlar </w:t>
      </w:r>
      <w:r w:rsidR="004F734E" w:rsidRPr="004F734E">
        <w:rPr>
          <w:rFonts w:ascii="Arial" w:hAnsi="Arial" w:cs="Arial"/>
          <w:i/>
          <w:iCs/>
          <w:sz w:val="24"/>
          <w:lang w:val="tr-TR"/>
        </w:rPr>
        <w:t>Compact</w:t>
      </w:r>
      <w:r w:rsidR="004F734E">
        <w:rPr>
          <w:rFonts w:ascii="Arial" w:hAnsi="Arial" w:cs="Arial"/>
          <w:sz w:val="24"/>
          <w:lang w:val="tr-TR"/>
        </w:rPr>
        <w:t>’</w:t>
      </w:r>
      <w:r w:rsidR="004F734E">
        <w:rPr>
          <w:rFonts w:ascii="Arial" w:hAnsi="Arial" w:cs="Arial"/>
          <w:i/>
          <w:iCs/>
          <w:sz w:val="24"/>
          <w:lang w:val="tr-TR"/>
        </w:rPr>
        <w:t>a</w:t>
      </w:r>
      <w:r w:rsidRPr="004352A9">
        <w:rPr>
          <w:rFonts w:ascii="Arial" w:hAnsi="Arial" w:cs="Arial"/>
          <w:sz w:val="24"/>
          <w:lang w:val="tr-TR"/>
        </w:rPr>
        <w:t xml:space="preserve"> kavramsal, ahlaki ve siyasi katkı yapma fırsatını değerlendirmeliler. </w:t>
      </w:r>
    </w:p>
    <w:p w14:paraId="7A7943FD" w14:textId="5F2BA6AC" w:rsidR="00077085" w:rsidRPr="004352A9" w:rsidRDefault="008B2EC0" w:rsidP="008B2EC0">
      <w:pPr>
        <w:pStyle w:val="ListeParagraf"/>
        <w:numPr>
          <w:ilvl w:val="0"/>
          <w:numId w:val="25"/>
        </w:numPr>
        <w:spacing w:after="0"/>
        <w:jc w:val="both"/>
        <w:rPr>
          <w:rFonts w:ascii="Arial" w:hAnsi="Arial" w:cs="Arial"/>
          <w:sz w:val="8"/>
          <w:szCs w:val="16"/>
          <w:lang w:val="tr-TR"/>
        </w:rPr>
      </w:pPr>
      <w:r w:rsidRPr="004352A9">
        <w:rPr>
          <w:rFonts w:ascii="Arial" w:hAnsi="Arial" w:cs="Arial"/>
          <w:sz w:val="24"/>
          <w:lang w:val="tr-TR"/>
        </w:rPr>
        <w:t xml:space="preserve">Yükselen pazarlar uluslararası göçün sebepleri, sonuçları ve faydalarının herkesin kavramasında, çevresel değişimlerin göçle ilgili sonuçlarına karşı hazırlanmakta, ailesini geride bırakarak göç etmiş kişilerin refah durumunu gözlemlemede, boş vaatlerle göçmenleri (özellikle de kadınları) tuzağa düşüren kaçakçıları cezalandırmada, ve iş dünyası ve sivil toplum organizasyonları ile işbirliği düzenlemeleri geliştirmede öncülük etmelidir. </w:t>
      </w:r>
    </w:p>
    <w:p w14:paraId="0D69F58A" w14:textId="1292D03E" w:rsidR="00CE22ED" w:rsidRPr="004352A9" w:rsidRDefault="00205287" w:rsidP="00077085">
      <w:pPr>
        <w:spacing w:after="0"/>
        <w:jc w:val="both"/>
        <w:rPr>
          <w:rFonts w:ascii="Arial" w:hAnsi="Arial" w:cs="Arial"/>
          <w:sz w:val="24"/>
          <w:lang w:val="tr-TR"/>
        </w:rPr>
      </w:pPr>
      <w:r w:rsidRPr="004352A9">
        <w:rPr>
          <w:rFonts w:ascii="Arial" w:hAnsi="Arial" w:cs="Arial"/>
          <w:sz w:val="24"/>
          <w:lang w:val="tr-TR"/>
        </w:rPr>
        <w:t xml:space="preserve">Sempozyumun sonuçları Şubat ayında Birleşmiş Milletler’e sunulacak. Hükümetlerin, iş çevrelerinin ve sivil toplumun değerlendirmesine sunulmak üzere eylemler önerecek bir rapor bu yılın ilerleyen dönemlerinde yayınlanacak. </w:t>
      </w:r>
    </w:p>
    <w:p w14:paraId="2B958A83" w14:textId="77777777" w:rsidR="00077085" w:rsidRPr="004352A9" w:rsidRDefault="00077085" w:rsidP="00CE22ED">
      <w:pPr>
        <w:spacing w:after="0"/>
        <w:jc w:val="both"/>
        <w:rPr>
          <w:rFonts w:ascii="Arial" w:hAnsi="Arial" w:cs="Arial"/>
          <w:sz w:val="24"/>
          <w:szCs w:val="28"/>
          <w:lang w:val="tr-TR"/>
        </w:rPr>
      </w:pPr>
    </w:p>
    <w:p w14:paraId="18A1E677" w14:textId="5886D525" w:rsidR="00CE22ED" w:rsidRPr="004352A9" w:rsidRDefault="00DB4569" w:rsidP="00CE22ED">
      <w:pPr>
        <w:spacing w:after="0"/>
        <w:jc w:val="both"/>
        <w:outlineLvl w:val="0"/>
        <w:rPr>
          <w:rFonts w:ascii="Arial" w:hAnsi="Arial" w:cs="Arial"/>
          <w:b/>
          <w:sz w:val="24"/>
          <w:lang w:val="tr-TR"/>
        </w:rPr>
      </w:pPr>
      <w:r w:rsidRPr="004352A9">
        <w:rPr>
          <w:rFonts w:ascii="Arial" w:hAnsi="Arial" w:cs="Arial"/>
          <w:b/>
          <w:sz w:val="24"/>
          <w:lang w:val="tr-TR"/>
        </w:rPr>
        <w:t>Editörlerden Notlar</w:t>
      </w:r>
    </w:p>
    <w:p w14:paraId="16131A9B" w14:textId="35F076CC" w:rsidR="00CE22ED" w:rsidRPr="004352A9" w:rsidRDefault="00DB4569" w:rsidP="004352A9">
      <w:pPr>
        <w:pStyle w:val="p1"/>
        <w:jc w:val="both"/>
        <w:rPr>
          <w:rFonts w:ascii="Arial" w:hAnsi="Arial" w:cs="Arial"/>
          <w:sz w:val="24"/>
          <w:lang w:val="tr-TR"/>
        </w:rPr>
      </w:pPr>
      <w:r w:rsidRPr="004352A9">
        <w:rPr>
          <w:rFonts w:ascii="Arial" w:hAnsi="Arial" w:cs="Arial"/>
          <w:sz w:val="24"/>
          <w:lang w:val="tr-TR"/>
        </w:rPr>
        <w:t xml:space="preserve">Sempozyum 12-14 Ocak 2018 tarihleri arasında, </w:t>
      </w:r>
      <w:r w:rsidRPr="004352A9">
        <w:rPr>
          <w:rFonts w:ascii="Arial" w:hAnsi="Arial" w:cs="Arial"/>
          <w:i/>
          <w:iCs/>
          <w:sz w:val="24"/>
          <w:lang w:val="tr-TR"/>
        </w:rPr>
        <w:t>Yükselen Marketler Sempozyumu’nun</w:t>
      </w:r>
      <w:r w:rsidRPr="004352A9">
        <w:rPr>
          <w:rFonts w:ascii="Arial" w:hAnsi="Arial" w:cs="Arial"/>
          <w:sz w:val="24"/>
          <w:lang w:val="tr-TR"/>
        </w:rPr>
        <w:t xml:space="preserve"> (EMS) yükselen pazarlarda insani gelişmişlik, ekonomik büyüme, sosyal uyum ve siyasi istikrar konularında düzenlediği dizinin dokuzuncusu olarak düzenlenmiştir. </w:t>
      </w:r>
      <w:r w:rsidR="004352A9" w:rsidRPr="004352A9">
        <w:rPr>
          <w:rFonts w:ascii="Arial" w:hAnsi="Arial" w:cs="Arial"/>
          <w:sz w:val="24"/>
          <w:lang w:val="tr-TR"/>
        </w:rPr>
        <w:t xml:space="preserve">EMS, </w:t>
      </w:r>
      <w:r w:rsidRPr="004352A9">
        <w:rPr>
          <w:rFonts w:ascii="Arial" w:hAnsi="Arial" w:cs="Arial"/>
          <w:sz w:val="24"/>
          <w:lang w:val="tr-TR"/>
        </w:rPr>
        <w:t xml:space="preserve">Oxford, Green Templeton College’in </w:t>
      </w:r>
      <w:r w:rsidR="004352A9" w:rsidRPr="004352A9">
        <w:rPr>
          <w:rFonts w:ascii="Arial" w:hAnsi="Arial" w:cs="Arial"/>
          <w:sz w:val="24"/>
          <w:lang w:val="tr-TR"/>
        </w:rPr>
        <w:t xml:space="preserve">modern dünyada insan refahı yönetimini güçlendirmeye olan adanmışlığını ifade eden </w:t>
      </w:r>
      <w:r w:rsidRPr="004352A9">
        <w:rPr>
          <w:rFonts w:ascii="Arial" w:hAnsi="Arial" w:cs="Arial"/>
          <w:sz w:val="24"/>
          <w:lang w:val="tr-TR"/>
        </w:rPr>
        <w:t>akade</w:t>
      </w:r>
      <w:r w:rsidR="004352A9" w:rsidRPr="004352A9">
        <w:rPr>
          <w:rFonts w:ascii="Arial" w:hAnsi="Arial" w:cs="Arial"/>
          <w:sz w:val="24"/>
          <w:lang w:val="tr-TR"/>
        </w:rPr>
        <w:t>mik bir girişimidir ve C&amp;C Alpha Group’un cömert sponsorluğu ile kurulmuştur.</w:t>
      </w:r>
    </w:p>
    <w:p w14:paraId="75F068B3" w14:textId="77777777" w:rsidR="00CE22ED" w:rsidRPr="004352A9" w:rsidRDefault="00CE22ED" w:rsidP="00CE22ED">
      <w:pPr>
        <w:pStyle w:val="p1"/>
        <w:jc w:val="both"/>
        <w:rPr>
          <w:rFonts w:ascii="Arial" w:hAnsi="Arial" w:cs="Arial"/>
          <w:lang w:val="tr-TR"/>
        </w:rPr>
      </w:pPr>
    </w:p>
    <w:p w14:paraId="22ED844E" w14:textId="0A77AF1A" w:rsidR="00CE22ED" w:rsidRPr="004352A9" w:rsidRDefault="00DB4569" w:rsidP="00DB4569">
      <w:pPr>
        <w:pStyle w:val="p1"/>
        <w:jc w:val="both"/>
        <w:rPr>
          <w:rFonts w:ascii="Arial" w:hAnsi="Arial" w:cs="Arial"/>
          <w:sz w:val="24"/>
          <w:szCs w:val="24"/>
          <w:lang w:val="tr-TR"/>
        </w:rPr>
      </w:pPr>
      <w:r w:rsidRPr="004352A9">
        <w:rPr>
          <w:rFonts w:ascii="Arial" w:hAnsi="Arial" w:cs="Arial"/>
          <w:sz w:val="24"/>
          <w:szCs w:val="24"/>
          <w:lang w:val="tr-TR"/>
        </w:rPr>
        <w:lastRenderedPageBreak/>
        <w:t xml:space="preserve">EMS, </w:t>
      </w:r>
      <w:r w:rsidR="008B2EC0" w:rsidRPr="004352A9">
        <w:rPr>
          <w:rFonts w:ascii="Arial" w:hAnsi="Arial" w:cs="Arial"/>
          <w:sz w:val="24"/>
          <w:szCs w:val="24"/>
          <w:lang w:val="tr-TR"/>
        </w:rPr>
        <w:t>Kolej’in yükselen pazarların 21. Yüzyıl için kritik bir öneme sahip olacağını</w:t>
      </w:r>
      <w:r w:rsidRPr="004352A9">
        <w:rPr>
          <w:rFonts w:ascii="Arial" w:hAnsi="Arial" w:cs="Arial"/>
          <w:sz w:val="24"/>
          <w:szCs w:val="24"/>
          <w:lang w:val="tr-TR"/>
        </w:rPr>
        <w:t>n</w:t>
      </w:r>
      <w:r w:rsidR="008B2EC0" w:rsidRPr="004352A9">
        <w:rPr>
          <w:rFonts w:ascii="Arial" w:hAnsi="Arial" w:cs="Arial"/>
          <w:sz w:val="24"/>
          <w:szCs w:val="24"/>
          <w:lang w:val="tr-TR"/>
        </w:rPr>
        <w:t xml:space="preserve">; </w:t>
      </w:r>
      <w:r w:rsidRPr="004352A9">
        <w:rPr>
          <w:rFonts w:ascii="Arial" w:hAnsi="Arial" w:cs="Arial"/>
          <w:sz w:val="24"/>
          <w:szCs w:val="24"/>
          <w:lang w:val="tr-TR"/>
        </w:rPr>
        <w:t xml:space="preserve">çözülmemiş insan refahı ve sağlığına dair çözülmemiş sorunların yükselen pazarların büyüme, uyum ve istikrarına ket vuracağı; bu sorunlara dair herhangi bir forum kurulmadığının; ve Kolej’in politika ve uygulamalarda Pratik değişiklikler önerebilecek önde gelen otoriteleri –ulusal hükümetlerden, uluslararası örgütlerden, iş dünyasından ve sivil toplum kuruluşlarından- bir araya getirebilecek toplayıcı güce sahip olduğunun farkına varması ile 2008 yılında kurulmuştur. </w:t>
      </w:r>
    </w:p>
    <w:p w14:paraId="0CF95FC2" w14:textId="77777777" w:rsidR="00CE22ED" w:rsidRPr="004352A9" w:rsidRDefault="00CE22ED" w:rsidP="00CE22ED">
      <w:pPr>
        <w:pStyle w:val="p1"/>
        <w:jc w:val="both"/>
        <w:rPr>
          <w:rFonts w:ascii="Arial" w:hAnsi="Arial" w:cs="Arial"/>
          <w:sz w:val="10"/>
          <w:szCs w:val="24"/>
          <w:lang w:val="tr-TR"/>
        </w:rPr>
      </w:pPr>
    </w:p>
    <w:p w14:paraId="55DB4A86" w14:textId="7E7E6302" w:rsidR="00CE22ED" w:rsidRPr="004352A9" w:rsidRDefault="008B2EC0" w:rsidP="008B2EC0">
      <w:pPr>
        <w:pStyle w:val="p1"/>
        <w:jc w:val="both"/>
        <w:rPr>
          <w:rFonts w:ascii="Arial" w:hAnsi="Arial" w:cs="Arial"/>
          <w:sz w:val="24"/>
          <w:lang w:val="tr-TR"/>
        </w:rPr>
      </w:pPr>
      <w:r w:rsidRPr="004352A9">
        <w:rPr>
          <w:rFonts w:ascii="Arial" w:hAnsi="Arial" w:cs="Arial"/>
          <w:sz w:val="24"/>
          <w:lang w:val="tr-TR"/>
        </w:rPr>
        <w:t xml:space="preserve">Sempozyumdaki katılımcılar arasında yükselen pazarların önde gelen otoriteleri, zengin ülkelerden kamu, iş sektörü, sivil toplum konusunda tecrübeli isimler, ve demografi, ekonomi, sosyoloji, antropoloji, sağlık, hukuk, siyaset, eğitim ve çevre konusunda uzmanlar yer aldı. </w:t>
      </w:r>
    </w:p>
    <w:p w14:paraId="58C6E798" w14:textId="77777777" w:rsidR="00CE22ED" w:rsidRPr="004352A9" w:rsidRDefault="00CE22ED" w:rsidP="00CE22ED">
      <w:pPr>
        <w:pStyle w:val="p1"/>
        <w:jc w:val="both"/>
        <w:rPr>
          <w:rFonts w:ascii="Arial" w:hAnsi="Arial" w:cs="Arial"/>
          <w:sz w:val="10"/>
          <w:szCs w:val="24"/>
          <w:lang w:val="tr-TR"/>
        </w:rPr>
      </w:pPr>
    </w:p>
    <w:p w14:paraId="61AFA827" w14:textId="7F14B2BE" w:rsidR="00CE22ED" w:rsidRPr="004352A9" w:rsidRDefault="008B2EC0" w:rsidP="008B2EC0">
      <w:pPr>
        <w:pStyle w:val="Default"/>
        <w:jc w:val="both"/>
        <w:rPr>
          <w:rFonts w:ascii="Arial" w:hAnsi="Arial" w:cs="Arial"/>
          <w:lang w:val="tr-TR"/>
        </w:rPr>
      </w:pPr>
      <w:r w:rsidRPr="004352A9">
        <w:rPr>
          <w:rFonts w:ascii="Arial" w:hAnsi="Arial" w:cs="Arial"/>
          <w:lang w:val="tr-TR"/>
        </w:rPr>
        <w:t xml:space="preserve">EMS ve daha önceki sempozyumlarına dair daha fazla bilgi EMS’in web sayfasında bulunabilir: ems.gtc.ox.ac.uk. Green Templeton College’a dair daha fazka bilgi için: </w:t>
      </w:r>
      <w:hyperlink r:id="rId8" w:history="1">
        <w:r w:rsidRPr="004352A9">
          <w:rPr>
            <w:rStyle w:val="Kpr"/>
            <w:rFonts w:ascii="Arial" w:hAnsi="Arial" w:cs="Arial"/>
            <w:lang w:val="tr-TR"/>
          </w:rPr>
          <w:t>www.gtc.ox.ac.uk</w:t>
        </w:r>
      </w:hyperlink>
      <w:r w:rsidRPr="004352A9">
        <w:rPr>
          <w:rFonts w:ascii="Arial" w:hAnsi="Arial" w:cs="Arial"/>
          <w:lang w:val="tr-TR"/>
        </w:rPr>
        <w:t xml:space="preserve"> </w:t>
      </w:r>
    </w:p>
    <w:p w14:paraId="2AD2DCA0" w14:textId="77777777" w:rsidR="00CE22ED" w:rsidRPr="004352A9" w:rsidRDefault="00CE22ED" w:rsidP="00CE22ED">
      <w:pPr>
        <w:pStyle w:val="Default"/>
        <w:jc w:val="both"/>
        <w:rPr>
          <w:rFonts w:ascii="Arial" w:hAnsi="Arial" w:cs="Arial"/>
          <w:sz w:val="10"/>
          <w:lang w:val="tr-TR"/>
        </w:rPr>
      </w:pPr>
    </w:p>
    <w:p w14:paraId="7666B4A6" w14:textId="7A94C8E6" w:rsidR="00CE22ED" w:rsidRPr="004352A9" w:rsidRDefault="008B2EC0" w:rsidP="008B2EC0">
      <w:pPr>
        <w:pStyle w:val="Default"/>
        <w:jc w:val="both"/>
        <w:rPr>
          <w:rFonts w:ascii="Arial" w:hAnsi="Arial" w:cs="Arial"/>
          <w:color w:val="000000" w:themeColor="text1"/>
          <w:lang w:val="tr-TR"/>
        </w:rPr>
      </w:pPr>
      <w:r w:rsidRPr="004352A9">
        <w:rPr>
          <w:rFonts w:ascii="Arial" w:hAnsi="Arial" w:cs="Arial"/>
          <w:color w:val="000000" w:themeColor="text1"/>
          <w:lang w:val="tr-TR"/>
        </w:rPr>
        <w:t xml:space="preserve">Sorular ve/veya daha fazla bilgi için, lütfen Ian Scott </w:t>
      </w:r>
      <w:r w:rsidRPr="004352A9">
        <w:rPr>
          <w:rFonts w:ascii="Arial" w:hAnsi="Arial" w:cs="Arial"/>
          <w:lang w:val="tr-TR"/>
        </w:rPr>
        <w:t>(</w:t>
      </w:r>
      <w:hyperlink r:id="rId9" w:history="1">
        <w:r w:rsidRPr="004352A9">
          <w:rPr>
            <w:rStyle w:val="Kpr"/>
            <w:rFonts w:ascii="Arial" w:hAnsi="Arial" w:cs="Arial"/>
            <w:color w:val="000000" w:themeColor="text1"/>
            <w:lang w:val="tr-TR"/>
          </w:rPr>
          <w:t>ian.scott@gtc.ox.ac.uk</w:t>
        </w:r>
      </w:hyperlink>
      <w:r w:rsidRPr="004352A9">
        <w:rPr>
          <w:rFonts w:ascii="Arial" w:hAnsi="Arial" w:cs="Arial"/>
          <w:color w:val="000000" w:themeColor="text1"/>
          <w:lang w:val="tr-TR"/>
        </w:rPr>
        <w:t xml:space="preserve"> or 01865 274 565) veya Riley Lewis (</w:t>
      </w:r>
      <w:hyperlink r:id="rId10" w:history="1">
        <w:r w:rsidRPr="004352A9">
          <w:rPr>
            <w:rStyle w:val="Kpr"/>
            <w:rFonts w:ascii="Arial" w:hAnsi="Arial" w:cs="Arial"/>
            <w:color w:val="000000" w:themeColor="text1"/>
            <w:lang w:val="tr-TR"/>
          </w:rPr>
          <w:t>riley.lewis@gtc.ox.ac.uk</w:t>
        </w:r>
      </w:hyperlink>
      <w:r w:rsidRPr="004352A9">
        <w:rPr>
          <w:rFonts w:ascii="Arial" w:hAnsi="Arial" w:cs="Arial"/>
          <w:color w:val="000000" w:themeColor="text1"/>
          <w:lang w:val="tr-TR"/>
        </w:rPr>
        <w:t xml:space="preserve"> or 01865 274 787) ile iletişime geçiniz</w:t>
      </w:r>
    </w:p>
    <w:p w14:paraId="5D2D2BEE" w14:textId="77777777" w:rsidR="00CE22ED" w:rsidRPr="004352A9" w:rsidRDefault="00CE22ED" w:rsidP="00CE22ED">
      <w:pPr>
        <w:spacing w:line="240" w:lineRule="auto"/>
        <w:jc w:val="both"/>
        <w:rPr>
          <w:rFonts w:ascii="Arial" w:hAnsi="Arial" w:cs="Arial"/>
          <w:sz w:val="24"/>
          <w:lang w:val="tr-TR"/>
        </w:rPr>
      </w:pPr>
    </w:p>
    <w:p w14:paraId="28FB2B65" w14:textId="77777777" w:rsidR="00CE22ED" w:rsidRPr="004352A9" w:rsidRDefault="00CE22ED" w:rsidP="00CE22ED">
      <w:pPr>
        <w:jc w:val="both"/>
        <w:rPr>
          <w:rFonts w:ascii="Arial" w:hAnsi="Arial" w:cs="Arial"/>
          <w:sz w:val="24"/>
          <w:lang w:val="tr-TR"/>
        </w:rPr>
      </w:pPr>
    </w:p>
    <w:p w14:paraId="46BC84AD" w14:textId="77777777" w:rsidR="003A4F10" w:rsidRPr="004352A9" w:rsidRDefault="002834E4" w:rsidP="00CE22ED">
      <w:pPr>
        <w:rPr>
          <w:lang w:val="tr-TR"/>
        </w:rPr>
      </w:pPr>
    </w:p>
    <w:sectPr w:rsidR="003A4F10" w:rsidRPr="004352A9" w:rsidSect="00AF415B">
      <w:headerReference w:type="even" r:id="rId11"/>
      <w:headerReference w:type="default" r:id="rId12"/>
      <w:headerReference w:type="first" r:id="rId1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EC828" w14:textId="77777777" w:rsidR="002834E4" w:rsidRDefault="002834E4" w:rsidP="007150AA">
      <w:pPr>
        <w:spacing w:after="0" w:line="240" w:lineRule="auto"/>
      </w:pPr>
      <w:r>
        <w:separator/>
      </w:r>
    </w:p>
  </w:endnote>
  <w:endnote w:type="continuationSeparator" w:id="0">
    <w:p w14:paraId="6A8A1A44" w14:textId="77777777" w:rsidR="002834E4" w:rsidRDefault="002834E4" w:rsidP="0071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4D"/>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791FA" w14:textId="77777777" w:rsidR="002834E4" w:rsidRDefault="002834E4" w:rsidP="007150AA">
      <w:pPr>
        <w:spacing w:after="0" w:line="240" w:lineRule="auto"/>
      </w:pPr>
      <w:r>
        <w:separator/>
      </w:r>
    </w:p>
  </w:footnote>
  <w:footnote w:type="continuationSeparator" w:id="0">
    <w:p w14:paraId="21D72F4A" w14:textId="77777777" w:rsidR="002834E4" w:rsidRDefault="002834E4" w:rsidP="00715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6F5B0" w14:textId="77777777" w:rsidR="006058D3" w:rsidRDefault="00CE22ED">
    <w:pPr>
      <w:pStyle w:val="stBilgi"/>
    </w:pPr>
    <w:r>
      <w:rPr>
        <w:noProof/>
        <w:lang w:val="en-US"/>
      </w:rPr>
      <mc:AlternateContent>
        <mc:Choice Requires="wps">
          <w:drawing>
            <wp:anchor distT="0" distB="0" distL="114300" distR="114300" simplePos="0" relativeHeight="251662336" behindDoc="1" locked="0" layoutInCell="0" allowOverlap="1" wp14:anchorId="61E71A93" wp14:editId="79F37149">
              <wp:simplePos x="0" y="0"/>
              <wp:positionH relativeFrom="margin">
                <wp:align>center</wp:align>
              </wp:positionH>
              <wp:positionV relativeFrom="margin">
                <wp:align>center</wp:align>
              </wp:positionV>
              <wp:extent cx="5730875" cy="1066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C173B5" w14:textId="77777777" w:rsidR="00CE22ED" w:rsidRDefault="00CE22ED" w:rsidP="00CE22ED">
                          <w:pPr>
                            <w:pStyle w:val="NormalWeb"/>
                            <w:spacing w:before="0" w:beforeAutospacing="0" w:after="0" w:afterAutospacing="0"/>
                            <w:jc w:val="center"/>
                          </w:pPr>
                          <w:r>
                            <w:rPr>
                              <w:rFonts w:ascii="Calibri" w:eastAsia="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E71A93" id="_x0000_t202" coordsize="21600,21600" o:spt="202" path="m,l,21600r21600,l21600,xe">
              <v:stroke joinstyle="miter"/>
              <v:path gradientshapeok="t" o:connecttype="rect"/>
            </v:shapetype>
            <v:shape id="Text Box 2" o:spid="_x0000_s1026" type="#_x0000_t202" style="position:absolute;margin-left:0;margin-top:0;width:451.25pt;height:8.4pt;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" o:allowincell="f" filled="f" stroked="f">
              <v:stroke joinstyle="round"/>
              <o:lock v:ext="edit" shapetype="t"/>
              <v:textbox style="mso-fit-shape-to-text:t">
                <w:txbxContent>
                  <w:p w14:paraId="08C173B5" w14:textId="77777777" w:rsidR="00CE22ED" w:rsidRDefault="00CE22ED" w:rsidP="00CE22ED">
                    <w:pPr>
                      <w:pStyle w:val="NormalWeb"/>
                      <w:spacing w:before="0" w:beforeAutospacing="0" w:after="0" w:afterAutospacing="0"/>
                      <w:jc w:val="center"/>
                    </w:pPr>
                    <w:r>
                      <w:rPr>
                        <w:rFonts w:ascii="Calibri" w:eastAsia="Calibri" w:hAnsi="Calibri" w:cs="Calibri"/>
                        <w:color w:val="C0C0C0"/>
                        <w:sz w:val="2"/>
                        <w:szCs w:val="2"/>
                      </w:rPr>
                      <w:t>DRAFT</w:t>
                    </w:r>
                  </w:p>
                </w:txbxContent>
              </v:textbox>
              <w10:wrap anchorx="margin" anchory="margin"/>
            </v:shape>
          </w:pict>
        </mc:Fallback>
      </mc:AlternateContent>
    </w:r>
    <w:r w:rsidR="002834E4">
      <w:rPr>
        <w:noProof/>
      </w:rPr>
      <w:pict w14:anchorId="0B4DE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451.25pt;height:150.4pt;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2834E4">
      <w:rPr>
        <w:noProof/>
      </w:rPr>
      <w:pict w14:anchorId="47E38CC9">
        <v:shape id="PowerPlusWaterMarkObject1" o:spid="_x0000_s2050" type="#_x0000_t136" alt="" style="position:absolute;margin-left:0;margin-top:0;width:451.25pt;height:150.4pt;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90AB" w14:textId="0413BB06" w:rsidR="000D248D" w:rsidRDefault="002834E4">
    <w:pPr>
      <w:pStyle w:val="stBilgi"/>
      <w:jc w:val="right"/>
    </w:pPr>
    <w:sdt>
      <w:sdtPr>
        <w:id w:val="1480649999"/>
        <w:docPartObj>
          <w:docPartGallery w:val="Page Numbers (Top of Page)"/>
          <w:docPartUnique/>
        </w:docPartObj>
      </w:sdtPr>
      <w:sdtEndPr>
        <w:rPr>
          <w:noProof/>
        </w:rPr>
      </w:sdtEndPr>
      <w:sdtContent>
        <w:r w:rsidR="00F0481F">
          <w:fldChar w:fldCharType="begin"/>
        </w:r>
        <w:r w:rsidR="00F0481F">
          <w:instrText xml:space="preserve"> PAGE   \* MERGEFORMAT </w:instrText>
        </w:r>
        <w:r w:rsidR="00F0481F">
          <w:fldChar w:fldCharType="separate"/>
        </w:r>
        <w:r w:rsidR="00E64EF2">
          <w:rPr>
            <w:noProof/>
          </w:rPr>
          <w:t>2</w:t>
        </w:r>
        <w:r w:rsidR="00F0481F">
          <w:rPr>
            <w:noProof/>
          </w:rPr>
          <w:fldChar w:fldCharType="end"/>
        </w:r>
      </w:sdtContent>
    </w:sdt>
  </w:p>
  <w:p w14:paraId="5FA393A3" w14:textId="77777777" w:rsidR="000D248D" w:rsidRDefault="002834E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8DA4C" w14:textId="77777777" w:rsidR="006058D3" w:rsidRDefault="00CE22ED">
    <w:pPr>
      <w:pStyle w:val="stBilgi"/>
    </w:pPr>
    <w:r>
      <w:rPr>
        <w:noProof/>
        <w:lang w:val="en-US"/>
      </w:rPr>
      <mc:AlternateContent>
        <mc:Choice Requires="wps">
          <w:drawing>
            <wp:anchor distT="0" distB="0" distL="114300" distR="114300" simplePos="0" relativeHeight="251663360" behindDoc="1" locked="0" layoutInCell="0" allowOverlap="1" wp14:anchorId="7F9CCCFD" wp14:editId="3D70FB2C">
              <wp:simplePos x="0" y="0"/>
              <wp:positionH relativeFrom="margin">
                <wp:align>center</wp:align>
              </wp:positionH>
              <wp:positionV relativeFrom="margin">
                <wp:align>center</wp:align>
              </wp:positionV>
              <wp:extent cx="5730875" cy="1066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33E7A" w14:textId="77777777" w:rsidR="00CE22ED" w:rsidRDefault="00CE22ED" w:rsidP="00CE22ED">
                          <w:pPr>
                            <w:pStyle w:val="NormalWeb"/>
                            <w:spacing w:before="0" w:beforeAutospacing="0" w:after="0" w:afterAutospacing="0"/>
                            <w:jc w:val="center"/>
                          </w:pPr>
                          <w:r>
                            <w:rPr>
                              <w:rFonts w:ascii="Calibri" w:eastAsia="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9CCCFD" id="_x0000_t202" coordsize="21600,21600" o:spt="202" path="m,l,21600r21600,l21600,xe">
              <v:stroke joinstyle="miter"/>
              <v:path gradientshapeok="t" o:connecttype="rect"/>
            </v:shapetype>
            <v:shape id="Text Box 1" o:spid="_x0000_s1027" type="#_x0000_t202" style="position:absolute;margin-left:0;margin-top:0;width:451.25pt;height:8.4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" o:allowincell="f" filled="f" stroked="f">
              <v:stroke joinstyle="round"/>
              <o:lock v:ext="edit" shapetype="t"/>
              <v:textbox style="mso-fit-shape-to-text:t">
                <w:txbxContent>
                  <w:p w14:paraId="41933E7A" w14:textId="77777777" w:rsidR="00CE22ED" w:rsidRDefault="00CE22ED" w:rsidP="00CE22ED">
                    <w:pPr>
                      <w:pStyle w:val="NormalWeb"/>
                      <w:spacing w:before="0" w:beforeAutospacing="0" w:after="0" w:afterAutospacing="0"/>
                      <w:jc w:val="center"/>
                    </w:pPr>
                    <w:r>
                      <w:rPr>
                        <w:rFonts w:ascii="Calibri" w:eastAsia="Calibri" w:hAnsi="Calibri" w:cs="Calibri"/>
                        <w:color w:val="C0C0C0"/>
                        <w:sz w:val="2"/>
                        <w:szCs w:val="2"/>
                      </w:rPr>
                      <w:t>DRAFT</w:t>
                    </w:r>
                  </w:p>
                </w:txbxContent>
              </v:textbox>
              <w10:wrap anchorx="margin" anchory="margin"/>
            </v:shape>
          </w:pict>
        </mc:Fallback>
      </mc:AlternateContent>
    </w:r>
    <w:r w:rsidR="002834E4">
      <w:rPr>
        <w:noProof/>
      </w:rPr>
      <w:pict w14:anchorId="3260A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451.25pt;height:150.4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564"/>
    <w:multiLevelType w:val="hybridMultilevel"/>
    <w:tmpl w:val="C4384BA2"/>
    <w:lvl w:ilvl="0" w:tplc="39467D8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05F86"/>
    <w:multiLevelType w:val="hybridMultilevel"/>
    <w:tmpl w:val="C25AB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C14780"/>
    <w:multiLevelType w:val="hybridMultilevel"/>
    <w:tmpl w:val="6960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97797"/>
    <w:multiLevelType w:val="hybridMultilevel"/>
    <w:tmpl w:val="590A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A7FCD"/>
    <w:multiLevelType w:val="hybridMultilevel"/>
    <w:tmpl w:val="671E7162"/>
    <w:lvl w:ilvl="0" w:tplc="39467D8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6218B"/>
    <w:multiLevelType w:val="hybridMultilevel"/>
    <w:tmpl w:val="25F8E9BC"/>
    <w:lvl w:ilvl="0" w:tplc="39467D8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30926"/>
    <w:multiLevelType w:val="hybridMultilevel"/>
    <w:tmpl w:val="84AAF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1B354F"/>
    <w:multiLevelType w:val="hybridMultilevel"/>
    <w:tmpl w:val="55481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B23C80"/>
    <w:multiLevelType w:val="hybridMultilevel"/>
    <w:tmpl w:val="6ADE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D752F"/>
    <w:multiLevelType w:val="hybridMultilevel"/>
    <w:tmpl w:val="AFAA9A70"/>
    <w:lvl w:ilvl="0" w:tplc="61602658">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7C0966"/>
    <w:multiLevelType w:val="hybridMultilevel"/>
    <w:tmpl w:val="9ED6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B4836"/>
    <w:multiLevelType w:val="hybridMultilevel"/>
    <w:tmpl w:val="E578F374"/>
    <w:lvl w:ilvl="0" w:tplc="0409000F">
      <w:start w:val="1"/>
      <w:numFmt w:val="decimal"/>
      <w:lvlText w:val="%1."/>
      <w:lvlJc w:val="left"/>
      <w:pPr>
        <w:ind w:left="36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A57EB"/>
    <w:multiLevelType w:val="hybridMultilevel"/>
    <w:tmpl w:val="3ED60E82"/>
    <w:lvl w:ilvl="0" w:tplc="0409000F">
      <w:start w:val="1"/>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980D93"/>
    <w:multiLevelType w:val="hybridMultilevel"/>
    <w:tmpl w:val="3382794E"/>
    <w:lvl w:ilvl="0" w:tplc="39467D8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302CF1"/>
    <w:multiLevelType w:val="hybridMultilevel"/>
    <w:tmpl w:val="A986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751CCB"/>
    <w:multiLevelType w:val="hybridMultilevel"/>
    <w:tmpl w:val="8F7E5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34D89"/>
    <w:multiLevelType w:val="hybridMultilevel"/>
    <w:tmpl w:val="ABFE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C20A6"/>
    <w:multiLevelType w:val="hybridMultilevel"/>
    <w:tmpl w:val="6B3A194C"/>
    <w:lvl w:ilvl="0" w:tplc="CF76A0F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3920C2"/>
    <w:multiLevelType w:val="hybridMultilevel"/>
    <w:tmpl w:val="0E60B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6B61F8"/>
    <w:multiLevelType w:val="hybridMultilevel"/>
    <w:tmpl w:val="3D30CBC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FA6FB4"/>
    <w:multiLevelType w:val="hybridMultilevel"/>
    <w:tmpl w:val="56600952"/>
    <w:lvl w:ilvl="0" w:tplc="39467D8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848A4"/>
    <w:multiLevelType w:val="hybridMultilevel"/>
    <w:tmpl w:val="A17C78D0"/>
    <w:lvl w:ilvl="0" w:tplc="3230ADA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C329FC"/>
    <w:multiLevelType w:val="hybridMultilevel"/>
    <w:tmpl w:val="AF32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550D98"/>
    <w:multiLevelType w:val="hybridMultilevel"/>
    <w:tmpl w:val="6C56C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835FD"/>
    <w:multiLevelType w:val="hybridMultilevel"/>
    <w:tmpl w:val="A1D88D92"/>
    <w:lvl w:ilvl="0" w:tplc="98882E62">
      <w:start w:val="1"/>
      <w:numFmt w:val="decimal"/>
      <w:lvlText w:val="%1."/>
      <w:lvlJc w:val="left"/>
      <w:pPr>
        <w:ind w:left="360" w:hanging="360"/>
      </w:pPr>
      <w:rPr>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ED0C0B"/>
    <w:multiLevelType w:val="hybridMultilevel"/>
    <w:tmpl w:val="3BE06F52"/>
    <w:lvl w:ilvl="0" w:tplc="3A1CAFE4">
      <w:start w:val="1"/>
      <w:numFmt w:val="decimal"/>
      <w:lvlText w:val="%1."/>
      <w:lvlJc w:val="left"/>
      <w:pPr>
        <w:ind w:left="360" w:hanging="360"/>
      </w:pPr>
      <w:rPr>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7B3FD7"/>
    <w:multiLevelType w:val="hybridMultilevel"/>
    <w:tmpl w:val="D30021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10538B"/>
    <w:multiLevelType w:val="hybridMultilevel"/>
    <w:tmpl w:val="C41E59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6"/>
  </w:num>
  <w:num w:numId="2">
    <w:abstractNumId w:val="7"/>
  </w:num>
  <w:num w:numId="3">
    <w:abstractNumId w:val="1"/>
  </w:num>
  <w:num w:numId="4">
    <w:abstractNumId w:val="24"/>
  </w:num>
  <w:num w:numId="5">
    <w:abstractNumId w:val="26"/>
  </w:num>
  <w:num w:numId="6">
    <w:abstractNumId w:val="15"/>
  </w:num>
  <w:num w:numId="7">
    <w:abstractNumId w:val="12"/>
  </w:num>
  <w:num w:numId="8">
    <w:abstractNumId w:val="2"/>
  </w:num>
  <w:num w:numId="9">
    <w:abstractNumId w:val="22"/>
  </w:num>
  <w:num w:numId="10">
    <w:abstractNumId w:val="10"/>
  </w:num>
  <w:num w:numId="11">
    <w:abstractNumId w:val="8"/>
  </w:num>
  <w:num w:numId="12">
    <w:abstractNumId w:val="18"/>
  </w:num>
  <w:num w:numId="13">
    <w:abstractNumId w:val="27"/>
  </w:num>
  <w:num w:numId="14">
    <w:abstractNumId w:val="14"/>
  </w:num>
  <w:num w:numId="15">
    <w:abstractNumId w:val="16"/>
  </w:num>
  <w:num w:numId="16">
    <w:abstractNumId w:val="3"/>
  </w:num>
  <w:num w:numId="17">
    <w:abstractNumId w:val="9"/>
  </w:num>
  <w:num w:numId="18">
    <w:abstractNumId w:val="25"/>
  </w:num>
  <w:num w:numId="19">
    <w:abstractNumId w:val="17"/>
  </w:num>
  <w:num w:numId="20">
    <w:abstractNumId w:val="11"/>
  </w:num>
  <w:num w:numId="21">
    <w:abstractNumId w:val="19"/>
  </w:num>
  <w:num w:numId="22">
    <w:abstractNumId w:val="23"/>
  </w:num>
  <w:num w:numId="23">
    <w:abstractNumId w:val="21"/>
  </w:num>
  <w:num w:numId="24">
    <w:abstractNumId w:val="13"/>
  </w:num>
  <w:num w:numId="25">
    <w:abstractNumId w:val="0"/>
  </w:num>
  <w:num w:numId="26">
    <w:abstractNumId w:val="20"/>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ED"/>
    <w:rsid w:val="00005B17"/>
    <w:rsid w:val="000116ED"/>
    <w:rsid w:val="00033F7E"/>
    <w:rsid w:val="00061C4E"/>
    <w:rsid w:val="00061E6F"/>
    <w:rsid w:val="0007098C"/>
    <w:rsid w:val="00077085"/>
    <w:rsid w:val="00083377"/>
    <w:rsid w:val="0008675D"/>
    <w:rsid w:val="00094359"/>
    <w:rsid w:val="0009498A"/>
    <w:rsid w:val="000A4EB8"/>
    <w:rsid w:val="000C2E44"/>
    <w:rsid w:val="000C559F"/>
    <w:rsid w:val="000E19EA"/>
    <w:rsid w:val="000F2FB3"/>
    <w:rsid w:val="00131399"/>
    <w:rsid w:val="00136A73"/>
    <w:rsid w:val="00143950"/>
    <w:rsid w:val="001537F8"/>
    <w:rsid w:val="00153CE3"/>
    <w:rsid w:val="0015502F"/>
    <w:rsid w:val="001579E9"/>
    <w:rsid w:val="0016685B"/>
    <w:rsid w:val="00167E5E"/>
    <w:rsid w:val="00172EC3"/>
    <w:rsid w:val="00173000"/>
    <w:rsid w:val="00180811"/>
    <w:rsid w:val="0019397C"/>
    <w:rsid w:val="001A5B0E"/>
    <w:rsid w:val="001B52F0"/>
    <w:rsid w:val="001C4593"/>
    <w:rsid w:val="001E147B"/>
    <w:rsid w:val="001E71DC"/>
    <w:rsid w:val="001F3627"/>
    <w:rsid w:val="001F3F3F"/>
    <w:rsid w:val="00205287"/>
    <w:rsid w:val="00225977"/>
    <w:rsid w:val="002268A8"/>
    <w:rsid w:val="00236BCD"/>
    <w:rsid w:val="00244A1B"/>
    <w:rsid w:val="0026404D"/>
    <w:rsid w:val="00274462"/>
    <w:rsid w:val="00277D0C"/>
    <w:rsid w:val="002834E4"/>
    <w:rsid w:val="002876F1"/>
    <w:rsid w:val="00295CD4"/>
    <w:rsid w:val="00296B9D"/>
    <w:rsid w:val="002A233E"/>
    <w:rsid w:val="002A2A4E"/>
    <w:rsid w:val="002E3707"/>
    <w:rsid w:val="003024F9"/>
    <w:rsid w:val="00315D25"/>
    <w:rsid w:val="00321DB8"/>
    <w:rsid w:val="0035039C"/>
    <w:rsid w:val="00380CA2"/>
    <w:rsid w:val="003848AA"/>
    <w:rsid w:val="00391968"/>
    <w:rsid w:val="0039400D"/>
    <w:rsid w:val="003C1854"/>
    <w:rsid w:val="003C431C"/>
    <w:rsid w:val="003E3FA5"/>
    <w:rsid w:val="003E6C12"/>
    <w:rsid w:val="003F54E8"/>
    <w:rsid w:val="004006A9"/>
    <w:rsid w:val="00405D8E"/>
    <w:rsid w:val="00406E25"/>
    <w:rsid w:val="00410B16"/>
    <w:rsid w:val="004352A9"/>
    <w:rsid w:val="004420F9"/>
    <w:rsid w:val="00443E81"/>
    <w:rsid w:val="00443F38"/>
    <w:rsid w:val="004446C1"/>
    <w:rsid w:val="004467D0"/>
    <w:rsid w:val="00446FB7"/>
    <w:rsid w:val="0045386A"/>
    <w:rsid w:val="00461607"/>
    <w:rsid w:val="00461A20"/>
    <w:rsid w:val="004768DE"/>
    <w:rsid w:val="004772AF"/>
    <w:rsid w:val="0048661C"/>
    <w:rsid w:val="004B0239"/>
    <w:rsid w:val="004C4F80"/>
    <w:rsid w:val="004F734E"/>
    <w:rsid w:val="005108D8"/>
    <w:rsid w:val="00510F92"/>
    <w:rsid w:val="00513FC1"/>
    <w:rsid w:val="0052286A"/>
    <w:rsid w:val="00541B25"/>
    <w:rsid w:val="00560663"/>
    <w:rsid w:val="00564A3D"/>
    <w:rsid w:val="00565CE6"/>
    <w:rsid w:val="00567AAB"/>
    <w:rsid w:val="00585AA7"/>
    <w:rsid w:val="005B03CC"/>
    <w:rsid w:val="005C67F4"/>
    <w:rsid w:val="005D2688"/>
    <w:rsid w:val="005D32DC"/>
    <w:rsid w:val="00602554"/>
    <w:rsid w:val="0061252C"/>
    <w:rsid w:val="00616CEC"/>
    <w:rsid w:val="00626E53"/>
    <w:rsid w:val="00650413"/>
    <w:rsid w:val="006934F3"/>
    <w:rsid w:val="006A4AD4"/>
    <w:rsid w:val="006A5305"/>
    <w:rsid w:val="006C2557"/>
    <w:rsid w:val="006C4B78"/>
    <w:rsid w:val="006C4E1A"/>
    <w:rsid w:val="006D51E0"/>
    <w:rsid w:val="006E5AA9"/>
    <w:rsid w:val="0070694B"/>
    <w:rsid w:val="007150AA"/>
    <w:rsid w:val="007157B6"/>
    <w:rsid w:val="007233A7"/>
    <w:rsid w:val="00750187"/>
    <w:rsid w:val="00776B4F"/>
    <w:rsid w:val="007A6138"/>
    <w:rsid w:val="007B19A0"/>
    <w:rsid w:val="007B2AE6"/>
    <w:rsid w:val="007B725B"/>
    <w:rsid w:val="007C19F5"/>
    <w:rsid w:val="007C3C0D"/>
    <w:rsid w:val="007D2F2F"/>
    <w:rsid w:val="007E22A4"/>
    <w:rsid w:val="007F1794"/>
    <w:rsid w:val="007F5C21"/>
    <w:rsid w:val="00824832"/>
    <w:rsid w:val="0084542E"/>
    <w:rsid w:val="00864FAC"/>
    <w:rsid w:val="00867DAE"/>
    <w:rsid w:val="008733D8"/>
    <w:rsid w:val="00884961"/>
    <w:rsid w:val="008A1476"/>
    <w:rsid w:val="008A6EA0"/>
    <w:rsid w:val="008B1298"/>
    <w:rsid w:val="008B2EC0"/>
    <w:rsid w:val="008C082C"/>
    <w:rsid w:val="008D681F"/>
    <w:rsid w:val="008F6C34"/>
    <w:rsid w:val="00913942"/>
    <w:rsid w:val="00915AB2"/>
    <w:rsid w:val="0092348D"/>
    <w:rsid w:val="009323BD"/>
    <w:rsid w:val="00935BD2"/>
    <w:rsid w:val="00965D87"/>
    <w:rsid w:val="00973910"/>
    <w:rsid w:val="00987377"/>
    <w:rsid w:val="009B76A8"/>
    <w:rsid w:val="009E35C0"/>
    <w:rsid w:val="009F08C0"/>
    <w:rsid w:val="009F663E"/>
    <w:rsid w:val="00A03366"/>
    <w:rsid w:val="00A2122B"/>
    <w:rsid w:val="00A505B2"/>
    <w:rsid w:val="00A650A8"/>
    <w:rsid w:val="00A8713E"/>
    <w:rsid w:val="00AA2B31"/>
    <w:rsid w:val="00AB7B53"/>
    <w:rsid w:val="00AC29F1"/>
    <w:rsid w:val="00AC36F2"/>
    <w:rsid w:val="00AC395F"/>
    <w:rsid w:val="00AD3336"/>
    <w:rsid w:val="00AE3FCD"/>
    <w:rsid w:val="00AF415B"/>
    <w:rsid w:val="00AF7F54"/>
    <w:rsid w:val="00B00246"/>
    <w:rsid w:val="00B00D85"/>
    <w:rsid w:val="00B3023B"/>
    <w:rsid w:val="00B350D8"/>
    <w:rsid w:val="00B35B97"/>
    <w:rsid w:val="00B36D9F"/>
    <w:rsid w:val="00B45D0E"/>
    <w:rsid w:val="00B55595"/>
    <w:rsid w:val="00B555C9"/>
    <w:rsid w:val="00B72D4E"/>
    <w:rsid w:val="00B83266"/>
    <w:rsid w:val="00B8663D"/>
    <w:rsid w:val="00BA4ADA"/>
    <w:rsid w:val="00BA754D"/>
    <w:rsid w:val="00BC3D10"/>
    <w:rsid w:val="00BC55E1"/>
    <w:rsid w:val="00BE4F79"/>
    <w:rsid w:val="00BF1CA1"/>
    <w:rsid w:val="00C00C53"/>
    <w:rsid w:val="00C03CFA"/>
    <w:rsid w:val="00C10992"/>
    <w:rsid w:val="00C312FC"/>
    <w:rsid w:val="00C31B48"/>
    <w:rsid w:val="00C45F39"/>
    <w:rsid w:val="00C5524A"/>
    <w:rsid w:val="00C66118"/>
    <w:rsid w:val="00C846E7"/>
    <w:rsid w:val="00C9515B"/>
    <w:rsid w:val="00CA123F"/>
    <w:rsid w:val="00CA4472"/>
    <w:rsid w:val="00CA4785"/>
    <w:rsid w:val="00CA688B"/>
    <w:rsid w:val="00CB3EFF"/>
    <w:rsid w:val="00CC68CA"/>
    <w:rsid w:val="00CD468F"/>
    <w:rsid w:val="00CD53A2"/>
    <w:rsid w:val="00CD6A3B"/>
    <w:rsid w:val="00CE22ED"/>
    <w:rsid w:val="00D04070"/>
    <w:rsid w:val="00D064F0"/>
    <w:rsid w:val="00D1033D"/>
    <w:rsid w:val="00D126E2"/>
    <w:rsid w:val="00D218CB"/>
    <w:rsid w:val="00D22927"/>
    <w:rsid w:val="00D47018"/>
    <w:rsid w:val="00D57EEE"/>
    <w:rsid w:val="00D60899"/>
    <w:rsid w:val="00D95FEF"/>
    <w:rsid w:val="00DB0A29"/>
    <w:rsid w:val="00DB1AA0"/>
    <w:rsid w:val="00DB4569"/>
    <w:rsid w:val="00DB4609"/>
    <w:rsid w:val="00DC0FD0"/>
    <w:rsid w:val="00DD1153"/>
    <w:rsid w:val="00DE52D7"/>
    <w:rsid w:val="00E317CF"/>
    <w:rsid w:val="00E367AD"/>
    <w:rsid w:val="00E52A7B"/>
    <w:rsid w:val="00E55CE9"/>
    <w:rsid w:val="00E6169C"/>
    <w:rsid w:val="00E61997"/>
    <w:rsid w:val="00E64EF2"/>
    <w:rsid w:val="00E802B6"/>
    <w:rsid w:val="00E91552"/>
    <w:rsid w:val="00EB1801"/>
    <w:rsid w:val="00EB478C"/>
    <w:rsid w:val="00EB57D5"/>
    <w:rsid w:val="00EB6E21"/>
    <w:rsid w:val="00ED140A"/>
    <w:rsid w:val="00EE6E36"/>
    <w:rsid w:val="00EF2D4F"/>
    <w:rsid w:val="00F0481F"/>
    <w:rsid w:val="00F1095F"/>
    <w:rsid w:val="00F41A5B"/>
    <w:rsid w:val="00F428E6"/>
    <w:rsid w:val="00F501FB"/>
    <w:rsid w:val="00F5388B"/>
    <w:rsid w:val="00F6279D"/>
    <w:rsid w:val="00FB122A"/>
    <w:rsid w:val="00FF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71BE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sz w:val="24"/>
        <w:szCs w:val="24"/>
        <w:u w:val="words"/>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22ED"/>
    <w:pPr>
      <w:spacing w:after="200" w:line="276" w:lineRule="auto"/>
    </w:pPr>
    <w:rPr>
      <w:rFonts w:asciiTheme="minorHAnsi" w:hAnsiTheme="minorHAnsi" w:cstheme="minorBidi"/>
      <w:color w:val="auto"/>
      <w:sz w:val="22"/>
      <w:szCs w:val="22"/>
      <w:u w:val="none"/>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E22ED"/>
    <w:pPr>
      <w:ind w:left="720"/>
      <w:contextualSpacing/>
    </w:pPr>
  </w:style>
  <w:style w:type="paragraph" w:styleId="stBilgi">
    <w:name w:val="header"/>
    <w:basedOn w:val="Normal"/>
    <w:link w:val="stBilgiChar"/>
    <w:uiPriority w:val="99"/>
    <w:unhideWhenUsed/>
    <w:rsid w:val="00CE22ED"/>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E22ED"/>
    <w:rPr>
      <w:rFonts w:asciiTheme="minorHAnsi" w:hAnsiTheme="minorHAnsi" w:cstheme="minorBidi"/>
      <w:color w:val="auto"/>
      <w:sz w:val="22"/>
      <w:szCs w:val="22"/>
      <w:u w:val="none"/>
      <w:lang w:val="en-GB"/>
    </w:rPr>
  </w:style>
  <w:style w:type="paragraph" w:customStyle="1" w:styleId="p1">
    <w:name w:val="p1"/>
    <w:basedOn w:val="Normal"/>
    <w:rsid w:val="00CE22ED"/>
    <w:pPr>
      <w:spacing w:after="0" w:line="240" w:lineRule="auto"/>
    </w:pPr>
    <w:rPr>
      <w:rFonts w:ascii="Helvetica" w:hAnsi="Helvetica" w:cs="Times New Roman"/>
      <w:sz w:val="18"/>
      <w:szCs w:val="18"/>
      <w:lang w:val="en-US"/>
    </w:rPr>
  </w:style>
  <w:style w:type="character" w:styleId="Kpr">
    <w:name w:val="Hyperlink"/>
    <w:basedOn w:val="VarsaylanParagrafYazTipi"/>
    <w:uiPriority w:val="99"/>
    <w:unhideWhenUsed/>
    <w:rsid w:val="00CE22ED"/>
    <w:rPr>
      <w:color w:val="0000FF"/>
      <w:u w:val="single"/>
    </w:rPr>
  </w:style>
  <w:style w:type="paragraph" w:styleId="NormalWeb">
    <w:name w:val="Normal (Web)"/>
    <w:basedOn w:val="Normal"/>
    <w:uiPriority w:val="99"/>
    <w:semiHidden/>
    <w:unhideWhenUsed/>
    <w:rsid w:val="00CE22ED"/>
    <w:pPr>
      <w:spacing w:before="100" w:beforeAutospacing="1" w:after="100" w:afterAutospacing="1" w:line="240" w:lineRule="auto"/>
    </w:pPr>
    <w:rPr>
      <w:rFonts w:ascii="Times New Roman" w:hAnsi="Times New Roman" w:cs="Times New Roman"/>
      <w:sz w:val="24"/>
      <w:szCs w:val="24"/>
      <w:lang w:val="en-US"/>
    </w:rPr>
  </w:style>
  <w:style w:type="paragraph" w:customStyle="1" w:styleId="Default">
    <w:name w:val="Default"/>
    <w:rsid w:val="00CE22ED"/>
    <w:pPr>
      <w:widowControl w:val="0"/>
      <w:autoSpaceDE w:val="0"/>
      <w:autoSpaceDN w:val="0"/>
      <w:adjustRightInd w:val="0"/>
    </w:pPr>
    <w:rPr>
      <w:rFonts w:ascii="Calibri" w:eastAsiaTheme="minorEastAsia" w:hAnsi="Calibri" w:cs="Calibri"/>
      <w:color w:val="000000"/>
      <w:u w:val="none"/>
    </w:rPr>
  </w:style>
  <w:style w:type="paragraph" w:styleId="SonNotMetni">
    <w:name w:val="endnote text"/>
    <w:basedOn w:val="Normal"/>
    <w:link w:val="SonNotMetniChar"/>
    <w:uiPriority w:val="99"/>
    <w:unhideWhenUsed/>
    <w:rsid w:val="007150AA"/>
    <w:pPr>
      <w:spacing w:after="0" w:line="240" w:lineRule="auto"/>
    </w:pPr>
    <w:rPr>
      <w:sz w:val="24"/>
      <w:szCs w:val="24"/>
    </w:rPr>
  </w:style>
  <w:style w:type="character" w:customStyle="1" w:styleId="SonNotMetniChar">
    <w:name w:val="Son Not Metni Char"/>
    <w:basedOn w:val="VarsaylanParagrafYazTipi"/>
    <w:link w:val="SonNotMetni"/>
    <w:uiPriority w:val="99"/>
    <w:rsid w:val="007150AA"/>
    <w:rPr>
      <w:rFonts w:asciiTheme="minorHAnsi" w:hAnsiTheme="minorHAnsi" w:cstheme="minorBidi"/>
      <w:color w:val="auto"/>
      <w:u w:val="none"/>
      <w:lang w:val="en-GB"/>
    </w:rPr>
  </w:style>
  <w:style w:type="character" w:styleId="SonNotBavurusu">
    <w:name w:val="endnote reference"/>
    <w:basedOn w:val="VarsaylanParagrafYazTipi"/>
    <w:uiPriority w:val="99"/>
    <w:unhideWhenUsed/>
    <w:rsid w:val="00715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065279">
      <w:bodyDiv w:val="1"/>
      <w:marLeft w:val="0"/>
      <w:marRight w:val="0"/>
      <w:marTop w:val="0"/>
      <w:marBottom w:val="0"/>
      <w:divBdr>
        <w:top w:val="none" w:sz="0" w:space="0" w:color="auto"/>
        <w:left w:val="none" w:sz="0" w:space="0" w:color="auto"/>
        <w:bottom w:val="none" w:sz="0" w:space="0" w:color="auto"/>
        <w:right w:val="none" w:sz="0" w:space="0" w:color="auto"/>
      </w:divBdr>
      <w:divsChild>
        <w:div w:id="586227687">
          <w:marLeft w:val="0"/>
          <w:marRight w:val="0"/>
          <w:marTop w:val="0"/>
          <w:marBottom w:val="0"/>
          <w:divBdr>
            <w:top w:val="none" w:sz="0" w:space="0" w:color="auto"/>
            <w:left w:val="none" w:sz="0" w:space="0" w:color="auto"/>
            <w:bottom w:val="none" w:sz="0" w:space="0" w:color="auto"/>
            <w:right w:val="none" w:sz="0" w:space="0" w:color="auto"/>
          </w:divBdr>
          <w:divsChild>
            <w:div w:id="951590134">
              <w:marLeft w:val="0"/>
              <w:marRight w:val="0"/>
              <w:marTop w:val="0"/>
              <w:marBottom w:val="0"/>
              <w:divBdr>
                <w:top w:val="none" w:sz="0" w:space="0" w:color="auto"/>
                <w:left w:val="none" w:sz="0" w:space="0" w:color="auto"/>
                <w:bottom w:val="none" w:sz="0" w:space="0" w:color="auto"/>
                <w:right w:val="none" w:sz="0" w:space="0" w:color="auto"/>
              </w:divBdr>
              <w:divsChild>
                <w:div w:id="21274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c.ox.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ley.lewis@gtc.ox.ac.uk" TargetMode="External"/><Relationship Id="rId4" Type="http://schemas.openxmlformats.org/officeDocument/2006/relationships/settings" Target="settings.xml"/><Relationship Id="rId9" Type="http://schemas.openxmlformats.org/officeDocument/2006/relationships/hyperlink" Target="mailto:ian.scott@gtc.ox.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15850B-F1AB-4E58-9EAB-25FE7CAB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SCOTT</dc:creator>
  <cp:keywords/>
  <dc:description/>
  <cp:lastModifiedBy>acer</cp:lastModifiedBy>
  <cp:revision>6</cp:revision>
  <cp:lastPrinted>2018-01-28T19:49:00Z</cp:lastPrinted>
  <dcterms:created xsi:type="dcterms:W3CDTF">2018-01-30T20:04:00Z</dcterms:created>
  <dcterms:modified xsi:type="dcterms:W3CDTF">2018-03-06T10:06:00Z</dcterms:modified>
  <cp:category/>
</cp:coreProperties>
</file>