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09"/>
        <w:gridCol w:w="2647"/>
        <w:gridCol w:w="2228"/>
        <w:gridCol w:w="2228"/>
      </w:tblGrid>
      <w:tr w:rsidR="0057574A" w:rsidRPr="009F5B61" w14:paraId="56E939EA" w14:textId="77777777" w:rsidTr="0057574A">
        <w:trPr>
          <w:trHeight w:val="314"/>
        </w:trPr>
        <w:tc>
          <w:tcPr>
            <w:tcW w:w="1809" w:type="dxa"/>
            <w:shd w:val="clear" w:color="auto" w:fill="FFFFFF"/>
          </w:tcPr>
          <w:p w14:paraId="56E939E5" w14:textId="77777777" w:rsidR="0057574A" w:rsidRPr="005E466D" w:rsidRDefault="0057574A" w:rsidP="0057574A">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103" w:type="dxa"/>
            <w:gridSpan w:val="3"/>
            <w:shd w:val="clear" w:color="auto" w:fill="FFFFFF"/>
          </w:tcPr>
          <w:p w14:paraId="56E939E9" w14:textId="63FCD0A1" w:rsidR="0057574A" w:rsidRPr="005E466D" w:rsidRDefault="0057574A" w:rsidP="0057574A">
            <w:pPr>
              <w:shd w:val="clear" w:color="auto" w:fill="FFFFFF"/>
              <w:ind w:right="-993"/>
              <w:jc w:val="center"/>
              <w:rPr>
                <w:rFonts w:ascii="Verdana" w:hAnsi="Verdana" w:cs="Arial"/>
                <w:b/>
                <w:color w:val="002060"/>
                <w:sz w:val="20"/>
                <w:lang w:val="en-GB"/>
              </w:rPr>
            </w:pPr>
            <w:r w:rsidRPr="0057574A">
              <w:rPr>
                <w:rFonts w:ascii="Verdana" w:hAnsi="Verdana" w:cs="Arial"/>
                <w:b/>
                <w:color w:val="002060"/>
                <w:sz w:val="20"/>
                <w:lang w:val="en-GB"/>
              </w:rPr>
              <w:t>Ankara Yıldırım Beyazıt University</w:t>
            </w:r>
          </w:p>
        </w:tc>
      </w:tr>
      <w:tr w:rsidR="0057574A" w:rsidRPr="005E466D" w14:paraId="56E939F1" w14:textId="77777777" w:rsidTr="0057574A">
        <w:trPr>
          <w:trHeight w:val="314"/>
        </w:trPr>
        <w:tc>
          <w:tcPr>
            <w:tcW w:w="1809" w:type="dxa"/>
            <w:shd w:val="clear" w:color="auto" w:fill="FFFFFF"/>
          </w:tcPr>
          <w:p w14:paraId="56E939EB" w14:textId="2A9960D0" w:rsidR="0057574A" w:rsidRPr="005E466D" w:rsidRDefault="0057574A" w:rsidP="0057574A">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57574A" w:rsidRPr="005E466D" w:rsidRDefault="0057574A" w:rsidP="0057574A">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57574A" w:rsidRPr="005E466D" w:rsidRDefault="0057574A" w:rsidP="0057574A">
            <w:pPr>
              <w:shd w:val="clear" w:color="auto" w:fill="FFFFFF"/>
              <w:spacing w:after="0"/>
              <w:ind w:right="-993"/>
              <w:jc w:val="left"/>
              <w:rPr>
                <w:rFonts w:ascii="Verdana" w:hAnsi="Verdana" w:cs="Arial"/>
                <w:sz w:val="20"/>
                <w:lang w:val="en-GB"/>
              </w:rPr>
            </w:pPr>
          </w:p>
        </w:tc>
        <w:tc>
          <w:tcPr>
            <w:tcW w:w="2647" w:type="dxa"/>
            <w:shd w:val="clear" w:color="auto" w:fill="FFFFFF"/>
          </w:tcPr>
          <w:p w14:paraId="56E939EE" w14:textId="5A686ECC" w:rsidR="0057574A" w:rsidRPr="0057574A" w:rsidRDefault="0057574A" w:rsidP="0057574A">
            <w:pPr>
              <w:shd w:val="clear" w:color="auto" w:fill="FFFFFF"/>
              <w:ind w:right="-993"/>
              <w:jc w:val="left"/>
              <w:rPr>
                <w:rFonts w:ascii="Verdana" w:hAnsi="Verdana" w:cs="Arial"/>
                <w:b/>
                <w:color w:val="002060"/>
                <w:sz w:val="20"/>
                <w:lang w:val="en-GB"/>
              </w:rPr>
            </w:pPr>
            <w:r w:rsidRPr="0057574A">
              <w:rPr>
                <w:rFonts w:ascii="Verdana" w:hAnsi="Verdana" w:cs="Arial"/>
                <w:b/>
                <w:color w:val="002060"/>
                <w:sz w:val="20"/>
                <w:lang w:val="en-GB"/>
              </w:rPr>
              <w:t>TR ANKARA15</w:t>
            </w:r>
          </w:p>
        </w:tc>
        <w:tc>
          <w:tcPr>
            <w:tcW w:w="2228" w:type="dxa"/>
            <w:shd w:val="clear" w:color="auto" w:fill="FFFFFF"/>
          </w:tcPr>
          <w:p w14:paraId="56E939EF" w14:textId="155BB36B" w:rsidR="0057574A" w:rsidRPr="005E466D" w:rsidRDefault="0057574A" w:rsidP="0057574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6E939F0" w14:textId="77777777" w:rsidR="0057574A" w:rsidRPr="005E466D" w:rsidRDefault="0057574A" w:rsidP="0057574A">
            <w:pPr>
              <w:shd w:val="clear" w:color="auto" w:fill="FFFFFF"/>
              <w:ind w:right="-993"/>
              <w:jc w:val="center"/>
              <w:rPr>
                <w:rFonts w:ascii="Verdana" w:hAnsi="Verdana" w:cs="Arial"/>
                <w:b/>
                <w:color w:val="002060"/>
                <w:sz w:val="20"/>
                <w:lang w:val="en-GB"/>
              </w:rPr>
            </w:pPr>
          </w:p>
        </w:tc>
      </w:tr>
      <w:tr w:rsidR="0057574A" w:rsidRPr="005E466D" w14:paraId="56E939F6" w14:textId="77777777" w:rsidTr="0057574A">
        <w:trPr>
          <w:trHeight w:val="472"/>
        </w:trPr>
        <w:tc>
          <w:tcPr>
            <w:tcW w:w="1809" w:type="dxa"/>
            <w:shd w:val="clear" w:color="auto" w:fill="FFFFFF"/>
          </w:tcPr>
          <w:p w14:paraId="56E939F2" w14:textId="77777777" w:rsidR="0057574A" w:rsidRPr="005E466D" w:rsidRDefault="0057574A" w:rsidP="0057574A">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647" w:type="dxa"/>
            <w:shd w:val="clear" w:color="auto" w:fill="FFFFFF"/>
          </w:tcPr>
          <w:p w14:paraId="56E939F3" w14:textId="67A0BAF7" w:rsidR="0057574A" w:rsidRPr="0057574A" w:rsidRDefault="0057574A" w:rsidP="0057574A">
            <w:r w:rsidRPr="0057574A">
              <w:rPr>
                <w:color w:val="002060"/>
              </w:rPr>
              <w:t>ANKARA YILDIRIM BEYAZIT UNIVERSITY (AYBU)</w:t>
            </w:r>
            <w:r w:rsidRPr="0057574A">
              <w:rPr>
                <w:color w:val="002060"/>
              </w:rPr>
              <w:br/>
              <w:t>Dış İlişkiler Birimi Genel Koordinatörlüğü</w:t>
            </w:r>
            <w:r w:rsidRPr="0057574A">
              <w:rPr>
                <w:color w:val="002060"/>
              </w:rPr>
              <w:br/>
              <w:t>Etlik Milli İrade Binası B Blok No:314Ayvalı Mah. Gazze Cad. No: 7 EtlikKeçiören / ANKARA    TURKEY</w:t>
            </w:r>
          </w:p>
        </w:tc>
        <w:tc>
          <w:tcPr>
            <w:tcW w:w="2228" w:type="dxa"/>
            <w:shd w:val="clear" w:color="auto" w:fill="FFFFFF"/>
          </w:tcPr>
          <w:p w14:paraId="56E939F4" w14:textId="77777777" w:rsidR="0057574A" w:rsidRPr="005E466D" w:rsidRDefault="0057574A" w:rsidP="0057574A">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34553DAC" w:rsidR="0057574A" w:rsidRPr="0057574A" w:rsidRDefault="0057574A" w:rsidP="0057574A">
            <w:r w:rsidRPr="0057574A">
              <w:rPr>
                <w:color w:val="002060"/>
              </w:rPr>
              <w:t>TURKEY / TR</w:t>
            </w:r>
          </w:p>
        </w:tc>
      </w:tr>
      <w:tr w:rsidR="0057574A" w:rsidRPr="005E466D" w14:paraId="56E939FC" w14:textId="77777777" w:rsidTr="0057574A">
        <w:trPr>
          <w:trHeight w:val="811"/>
        </w:trPr>
        <w:tc>
          <w:tcPr>
            <w:tcW w:w="1809" w:type="dxa"/>
            <w:shd w:val="clear" w:color="auto" w:fill="FFFFFF"/>
          </w:tcPr>
          <w:p w14:paraId="56E939F7" w14:textId="77777777" w:rsidR="0057574A" w:rsidRPr="0057574A" w:rsidRDefault="0057574A" w:rsidP="0057574A">
            <w:pPr>
              <w:rPr>
                <w:highlight w:val="yellow"/>
              </w:rPr>
            </w:pPr>
            <w:r w:rsidRPr="0057574A">
              <w:t xml:space="preserve">Contact person </w:t>
            </w:r>
            <w:r w:rsidRPr="0057574A">
              <w:br/>
              <w:t>name and position</w:t>
            </w:r>
          </w:p>
        </w:tc>
        <w:tc>
          <w:tcPr>
            <w:tcW w:w="2647" w:type="dxa"/>
            <w:shd w:val="clear" w:color="auto" w:fill="FFFFFF"/>
          </w:tcPr>
          <w:p w14:paraId="484BC183" w14:textId="77777777" w:rsidR="0057574A" w:rsidRDefault="0057574A" w:rsidP="0057574A">
            <w:pPr>
              <w:shd w:val="clear" w:color="auto" w:fill="FFFFFF"/>
              <w:ind w:right="-993"/>
              <w:jc w:val="left"/>
              <w:rPr>
                <w:rFonts w:ascii="Verdana" w:hAnsi="Verdana" w:cs="Arial"/>
                <w:color w:val="002060"/>
                <w:sz w:val="20"/>
                <w:lang w:val="en-GB"/>
              </w:rPr>
            </w:pPr>
          </w:p>
          <w:p w14:paraId="56E939F8" w14:textId="1D4B98A8" w:rsidR="0057574A" w:rsidRPr="005E466D" w:rsidRDefault="0057574A" w:rsidP="0057574A">
            <w:pPr>
              <w:shd w:val="clear" w:color="auto" w:fill="FFFFFF"/>
              <w:ind w:right="-993"/>
              <w:jc w:val="left"/>
              <w:rPr>
                <w:rFonts w:ascii="Verdana" w:hAnsi="Verdana" w:cs="Arial"/>
                <w:color w:val="002060"/>
                <w:sz w:val="20"/>
                <w:lang w:val="en-GB"/>
              </w:rPr>
            </w:pPr>
            <w:r w:rsidRPr="006B7C08">
              <w:rPr>
                <w:rFonts w:ascii="Verdana" w:hAnsi="Verdana" w:cs="Arial"/>
                <w:color w:val="002060"/>
                <w:sz w:val="20"/>
                <w:lang w:val="en-GB"/>
              </w:rPr>
              <w:t>Erasmus+ Institutional Coordinator</w:t>
            </w:r>
          </w:p>
        </w:tc>
        <w:tc>
          <w:tcPr>
            <w:tcW w:w="2228" w:type="dxa"/>
            <w:shd w:val="clear" w:color="auto" w:fill="FFFFFF"/>
          </w:tcPr>
          <w:p w14:paraId="56E939F9" w14:textId="77777777" w:rsidR="0057574A" w:rsidRDefault="0057574A" w:rsidP="0057574A">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57574A" w:rsidRPr="00C17AB2" w:rsidRDefault="0057574A" w:rsidP="0057574A">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04741DF9" w:rsidR="0057574A" w:rsidRPr="0057574A" w:rsidRDefault="0057574A" w:rsidP="0057574A">
            <w:pPr>
              <w:rPr>
                <w:color w:val="002060"/>
              </w:rPr>
            </w:pPr>
            <w:r w:rsidRPr="0057574A">
              <w:rPr>
                <w:color w:val="002060"/>
                <w:lang w:val="fr-BE"/>
              </w:rPr>
              <w:t>erasmus@ybu.edu.tr</w:t>
            </w:r>
          </w:p>
        </w:tc>
      </w:tr>
      <w:tr w:rsidR="0057574A" w:rsidRPr="005F0E76" w14:paraId="56E93A03" w14:textId="77777777" w:rsidTr="0057574A">
        <w:trPr>
          <w:trHeight w:val="811"/>
        </w:trPr>
        <w:tc>
          <w:tcPr>
            <w:tcW w:w="1809" w:type="dxa"/>
            <w:shd w:val="clear" w:color="auto" w:fill="auto"/>
          </w:tcPr>
          <w:p w14:paraId="372691DD" w14:textId="77777777"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 xml:space="preserve">Type of </w:t>
            </w:r>
          </w:p>
          <w:p w14:paraId="5DB69CE1" w14:textId="77777777"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enterprise:</w:t>
            </w:r>
          </w:p>
          <w:p w14:paraId="41AD5C86" w14:textId="77777777" w:rsidR="0057574A" w:rsidRPr="0057574A"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 xml:space="preserve">NACE code </w:t>
            </w:r>
          </w:p>
          <w:p w14:paraId="56E939FF" w14:textId="32C35307" w:rsidR="0057574A" w:rsidRPr="00AB0E88" w:rsidRDefault="0057574A" w:rsidP="0057574A">
            <w:pPr>
              <w:shd w:val="clear" w:color="auto" w:fill="FFFFFF"/>
              <w:spacing w:after="0"/>
              <w:ind w:right="-993"/>
              <w:jc w:val="left"/>
              <w:rPr>
                <w:rFonts w:ascii="Verdana" w:hAnsi="Verdana" w:cs="Arial"/>
                <w:sz w:val="20"/>
                <w:lang w:val="fr-BE"/>
              </w:rPr>
            </w:pPr>
            <w:r w:rsidRPr="0057574A">
              <w:rPr>
                <w:rFonts w:ascii="Verdana" w:hAnsi="Verdana" w:cs="Arial"/>
                <w:sz w:val="20"/>
                <w:lang w:val="fr-BE"/>
              </w:rPr>
              <w:t>(if applicable)</w:t>
            </w:r>
          </w:p>
        </w:tc>
        <w:tc>
          <w:tcPr>
            <w:tcW w:w="2647" w:type="dxa"/>
            <w:shd w:val="clear" w:color="auto" w:fill="auto"/>
          </w:tcPr>
          <w:p w14:paraId="56E93A00" w14:textId="5AB03104" w:rsidR="0057574A" w:rsidRPr="0078760B" w:rsidRDefault="0057574A" w:rsidP="0057574A">
            <w:pPr>
              <w:shd w:val="clear" w:color="auto" w:fill="FFFFFF"/>
              <w:spacing w:after="0"/>
              <w:ind w:right="-993"/>
              <w:jc w:val="left"/>
              <w:rPr>
                <w:rFonts w:ascii="Verdana" w:hAnsi="Verdana" w:cs="Arial"/>
                <w:color w:val="002060"/>
                <w:sz w:val="20"/>
                <w:lang w:val="fr-BE"/>
              </w:rPr>
            </w:pPr>
            <w:r w:rsidRPr="0057574A">
              <w:rPr>
                <w:rFonts w:ascii="Verdana" w:hAnsi="Verdana" w:cs="Arial"/>
                <w:color w:val="002060"/>
                <w:sz w:val="20"/>
                <w:lang w:val="fr-BE"/>
              </w:rPr>
              <w:t>P-Education</w:t>
            </w:r>
          </w:p>
        </w:tc>
        <w:tc>
          <w:tcPr>
            <w:tcW w:w="2228" w:type="dxa"/>
            <w:shd w:val="clear" w:color="auto" w:fill="FFFFFF"/>
          </w:tcPr>
          <w:p w14:paraId="1FC07922" w14:textId="10E3D567" w:rsidR="0057574A" w:rsidRPr="00782942" w:rsidRDefault="0057574A" w:rsidP="0057574A">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57574A" w:rsidRPr="00F8532D" w:rsidRDefault="0057574A" w:rsidP="0057574A">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57574A" w:rsidRDefault="0057574A" w:rsidP="0057574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6E93A02" w14:textId="03EC9074" w:rsidR="0057574A" w:rsidRPr="00F8532D" w:rsidRDefault="0057574A" w:rsidP="0057574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6383FA3D" w14:textId="77777777" w:rsidR="0057574A" w:rsidRDefault="0057574A" w:rsidP="00107B17">
      <w:pPr>
        <w:shd w:val="clear" w:color="auto" w:fill="FFFFFF"/>
        <w:ind w:right="-992"/>
        <w:jc w:val="left"/>
        <w:rPr>
          <w:rFonts w:ascii="Verdana" w:hAnsi="Verdana" w:cs="Arial"/>
          <w:b/>
          <w:color w:val="002060"/>
          <w:szCs w:val="24"/>
          <w:lang w:val="en-GB"/>
        </w:rPr>
      </w:pPr>
    </w:p>
    <w:p w14:paraId="5923D41E" w14:textId="77777777" w:rsidR="0057574A" w:rsidRDefault="0057574A" w:rsidP="00107B17">
      <w:pPr>
        <w:shd w:val="clear" w:color="auto" w:fill="FFFFFF"/>
        <w:ind w:right="-992"/>
        <w:jc w:val="left"/>
        <w:rPr>
          <w:rFonts w:ascii="Verdana" w:hAnsi="Verdana" w:cs="Arial"/>
          <w:b/>
          <w:color w:val="002060"/>
          <w:szCs w:val="24"/>
          <w:lang w:val="en-GB"/>
        </w:rPr>
      </w:pPr>
    </w:p>
    <w:p w14:paraId="4E8D7A8F" w14:textId="77777777" w:rsidR="0057574A" w:rsidRDefault="0057574A" w:rsidP="00107B17">
      <w:pPr>
        <w:shd w:val="clear" w:color="auto" w:fill="FFFFFF"/>
        <w:ind w:right="-992"/>
        <w:jc w:val="left"/>
        <w:rPr>
          <w:rFonts w:ascii="Verdana" w:hAnsi="Verdana" w:cs="Arial"/>
          <w:b/>
          <w:color w:val="002060"/>
          <w:szCs w:val="24"/>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33C586C1"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 xml:space="preserve">on page </w:t>
      </w:r>
      <w:r w:rsidR="0057574A">
        <w:rPr>
          <w:rFonts w:ascii="Verdana" w:hAnsi="Verdana" w:cs="Arial"/>
          <w:sz w:val="20"/>
          <w:lang w:val="en-GB"/>
        </w:rPr>
        <w:t>4-5</w:t>
      </w:r>
      <w:bookmarkStart w:id="0" w:name="_GoBack"/>
      <w:bookmarkEnd w:id="0"/>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58984" w14:textId="77777777" w:rsidR="00DE32BF" w:rsidRDefault="00DE32BF">
      <w:r>
        <w:separator/>
      </w:r>
    </w:p>
  </w:endnote>
  <w:endnote w:type="continuationSeparator" w:id="0">
    <w:p w14:paraId="44DB5E0A" w14:textId="77777777" w:rsidR="00DE32BF" w:rsidRDefault="00DE32BF">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CC383A8" w14:textId="49177B95"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55230B44"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57574A" w:rsidRPr="002F549E" w:rsidRDefault="0057574A"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57574A" w:rsidRPr="002F549E" w:rsidRDefault="0057574A"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Kpr"/>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4C011CA8"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3B863F3E" w:rsidR="0081766A" w:rsidRDefault="0081766A">
        <w:pPr>
          <w:pStyle w:val="Altbilgi"/>
          <w:jc w:val="center"/>
        </w:pPr>
        <w:r>
          <w:fldChar w:fldCharType="begin"/>
        </w:r>
        <w:r>
          <w:instrText xml:space="preserve"> PAGE   \* MERGEFORMAT </w:instrText>
        </w:r>
        <w:r>
          <w:fldChar w:fldCharType="separate"/>
        </w:r>
        <w:r w:rsidR="00D710BC">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E7FB3" w14:textId="77777777" w:rsidR="00DE32BF" w:rsidRDefault="00DE32BF">
      <w:r>
        <w:separator/>
      </w:r>
    </w:p>
  </w:footnote>
  <w:footnote w:type="continuationSeparator" w:id="0">
    <w:p w14:paraId="50FCAEC4" w14:textId="77777777" w:rsidR="00DE32BF" w:rsidRDefault="00DE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F172BFE">
                    <wp:simplePos x="0" y="0"/>
                    <wp:positionH relativeFrom="column">
                      <wp:posOffset>1477645</wp:posOffset>
                    </wp:positionH>
                    <wp:positionV relativeFrom="paragraph">
                      <wp:posOffset>21590</wp:posOffset>
                    </wp:positionV>
                    <wp:extent cx="200469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641F891E"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16.35pt;margin-top:1.7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L6nUf7d&#10;AAAACAEAAA8AAABkcnMvZG93bnJldi54bWxMj81OwzAQhO9IvIO1SNyoTZJCG7KpEIgrqOVH4uYm&#10;2yQiXkex24S3ZznBbVYzmvm22MyuVycaQ+cZ4XphQBFXvu64QXh7fbpagQrRcm17z4TwTQE25flZ&#10;YfPaT7yl0y42Sko45BahjXHItQ5VS86GhR+IxTv40dko59joerSTlLteJ8bcaGc7loXWDvTQUvW1&#10;OzqE9+fD50dmXppHtxwmPxvNbq0RLy/m+ztQkeb4F4ZffEGHUpj2/sh1UD1Ckia3EkVIM1DiL7OV&#10;iD3COk1Bl4X+/0D5AwAA//8DAFBLAQItABQABgAIAAAAIQC2gziS/gAAAOEBAAATAAAAAAAAAAAA&#10;AAAAAAAAAABbQ29udGVudF9UeXBlc10ueG1sUEsBAi0AFAAGAAgAAAAhADj9If/WAAAAlAEAAAsA&#10;AAAAAAAAAAAAAAAALwEAAF9yZWxzLy5yZWxzUEsBAi0AFAAGAAgAAAAhAAV35WayAgAAuQUAAA4A&#10;AAAAAAAAAAAAAAAALgIAAGRycy9lMm9Eb2MueG1sUEsBAi0AFAAGAAgAAAAhAL6nUf7dAAAACAEA&#10;AA8AAAAAAAAAAAAAAAAADAUAAGRycy9kb3ducmV2LnhtbFBLBQYAAAAABAAEAPMAAAAWBgAAAAA=&#10;" filled="f" stroked="f">
                    <v:textbo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641F891E"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066F81">
                            <w:rPr>
                              <w:rFonts w:ascii="Verdana" w:hAnsi="Verdana"/>
                              <w:b/>
                              <w:i/>
                              <w:color w:val="003CB4"/>
                              <w:sz w:val="16"/>
                              <w:szCs w:val="16"/>
                              <w:lang w:val="en-GB"/>
                            </w:rPr>
                            <w:t xml:space="preserve"> 2018</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574A"/>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10BC"/>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2BF"/>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91715B0-3CC9-4C72-81EA-A00B03F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CFE5A3A5-6084-4FDC-9F8A-9EBF0F9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489</Words>
  <Characters>2790</Characters>
  <Application>Microsoft Office Word</Application>
  <DocSecurity>0</DocSecurity>
  <PresentationFormat>Microsoft Word 11.0</PresentationFormat>
  <Lines>23</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3273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pc</cp:lastModifiedBy>
  <cp:revision>2</cp:revision>
  <cp:lastPrinted>2017-10-26T10:25:00Z</cp:lastPrinted>
  <dcterms:created xsi:type="dcterms:W3CDTF">2019-07-02T08:43:00Z</dcterms:created>
  <dcterms:modified xsi:type="dcterms:W3CDTF">2019-07-02T08:43:00Z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