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5B614B96" w14:textId="3640C511" w:rsidR="003B268C" w:rsidRDefault="003B268C" w:rsidP="003B268C">
            <w:pPr>
              <w:pStyle w:val="TableParagraph"/>
              <w:spacing w:before="198"/>
              <w:ind w:left="18"/>
              <w:jc w:val="center"/>
              <w:rPr>
                <w:b/>
                <w:spacing w:val="-2"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>
              <w:rPr>
                <w:b/>
                <w:spacing w:val="-7"/>
                <w:sz w:val="20"/>
                <w:szCs w:val="20"/>
              </w:rPr>
              <w:t>BİTKİSEL VE HAYVANSAL ÜRETİM</w:t>
            </w:r>
            <w:r w:rsidR="00BC6E6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</w:p>
          <w:p w14:paraId="5549F331" w14:textId="3E9D96C7" w:rsidR="00630C60" w:rsidRPr="00A07762" w:rsidRDefault="003B268C" w:rsidP="003B268C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>
              <w:rPr>
                <w:b/>
                <w:spacing w:val="-2"/>
                <w:sz w:val="20"/>
                <w:szCs w:val="20"/>
              </w:rPr>
              <w:t xml:space="preserve">TIBBİVE AROMATİK BİTKİLER PROGRAMI </w:t>
            </w: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C78D646" w:rsidR="00867237" w:rsidRPr="00A07762" w:rsidRDefault="005465E0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 w:rsidRPr="00DA1049">
              <w:rPr>
                <w:rFonts w:ascii="Calibri" w:hAnsi="Calibri" w:cs="Calibri"/>
              </w:rPr>
              <w:t>TAB201</w:t>
            </w:r>
          </w:p>
        </w:tc>
        <w:tc>
          <w:tcPr>
            <w:tcW w:w="2977" w:type="dxa"/>
          </w:tcPr>
          <w:p w14:paraId="41C4888C" w14:textId="628AE126" w:rsidR="00867237" w:rsidRPr="00A07762" w:rsidRDefault="005465E0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rFonts w:ascii="Calibri" w:hAnsi="Calibri" w:cs="Calibri"/>
              </w:rPr>
              <w:t>DROG HAZIRLAMA TEKNİĞİ</w:t>
            </w:r>
            <w:r w:rsidRPr="00A07762">
              <w:rPr>
                <w:sz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EDFD95E" w14:textId="7CA98FCE" w:rsidR="00BC6E60" w:rsidRPr="00BC6E60" w:rsidRDefault="00BC6E60" w:rsidP="00BC6E60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373FF87F" w:rsidR="00867237" w:rsidRPr="00A07762" w:rsidRDefault="003B268C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5EC208D2" w:rsidR="00867237" w:rsidRPr="00A07762" w:rsidRDefault="00867237" w:rsidP="00423F35">
            <w:pPr>
              <w:pStyle w:val="TableParagraph"/>
              <w:ind w:left="14"/>
              <w:jc w:val="center"/>
              <w:rPr>
                <w:sz w:val="20"/>
              </w:rPr>
            </w:pPr>
          </w:p>
        </w:tc>
        <w:tc>
          <w:tcPr>
            <w:tcW w:w="1710" w:type="dxa"/>
            <w:vAlign w:val="center"/>
          </w:tcPr>
          <w:p w14:paraId="6E69D48B" w14:textId="44E82762" w:rsidR="00867237" w:rsidRPr="00A07762" w:rsidRDefault="00867237" w:rsidP="00423F3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0439F7AE" w14:textId="77777777" w:rsidR="005465E0" w:rsidRDefault="005465E0" w:rsidP="009B50FD">
            <w:pPr>
              <w:pStyle w:val="TableParagraph"/>
              <w:jc w:val="both"/>
              <w:rPr>
                <w:rFonts w:cstheme="minorHAnsi"/>
              </w:rPr>
            </w:pPr>
            <w:r w:rsidRPr="00DA1049">
              <w:rPr>
                <w:rFonts w:ascii="Calibri" w:hAnsi="Calibri" w:cs="Calibri"/>
              </w:rPr>
              <w:t>ÖĞR. GÖR. DR. HATİCE TOSYAGÜLÜ ÇELİK</w:t>
            </w:r>
            <w:r w:rsidRPr="00B77628">
              <w:rPr>
                <w:rFonts w:cstheme="minorHAnsi"/>
              </w:rPr>
              <w:t xml:space="preserve"> </w:t>
            </w:r>
          </w:p>
          <w:p w14:paraId="3E586F75" w14:textId="25D2657F" w:rsidR="000441DB" w:rsidRPr="005465E0" w:rsidRDefault="005465E0" w:rsidP="005465E0">
            <w:pPr>
              <w:rPr>
                <w:rFonts w:ascii="Calibri" w:eastAsia="Carlito" w:hAnsi="Calibri" w:cs="Calibri"/>
              </w:rPr>
            </w:pPr>
            <w:r w:rsidRPr="005465E0">
              <w:rPr>
                <w:rFonts w:ascii="Calibri" w:eastAsia="Carlito" w:hAnsi="Calibri" w:cs="Calibri"/>
              </w:rPr>
              <w:t>htosyagulu@aybu.edu.tr</w:t>
            </w:r>
          </w:p>
          <w:p w14:paraId="1ABCB78D" w14:textId="7C64B3F3" w:rsidR="003B268C" w:rsidRPr="00EA0355" w:rsidRDefault="003B268C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38565D81" w14:textId="476F11E2" w:rsidR="00867237" w:rsidRPr="00A07762" w:rsidRDefault="00867237" w:rsidP="00867237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Pr="00EA0355">
              <w:rPr>
                <w:sz w:val="20"/>
              </w:rPr>
              <w:t xml:space="preserve">(Buraya </w:t>
            </w:r>
            <w:r w:rsidR="00DB0918">
              <w:rPr>
                <w:sz w:val="20"/>
              </w:rPr>
              <w:t xml:space="preserve">dersi veren öğretim üyesinin </w:t>
            </w:r>
            <w:r w:rsidRPr="00EA0355">
              <w:rPr>
                <w:sz w:val="20"/>
              </w:rPr>
              <w:t xml:space="preserve">güncel </w:t>
            </w:r>
            <w:r>
              <w:rPr>
                <w:sz w:val="20"/>
              </w:rPr>
              <w:t xml:space="preserve">öğrenci </w:t>
            </w:r>
            <w:r w:rsidRPr="00EA0355">
              <w:rPr>
                <w:sz w:val="20"/>
              </w:rPr>
              <w:t>görüşme saatleri eklenmelidir.)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35C09DA4" w:rsidR="00630C60" w:rsidRPr="00A07762" w:rsidRDefault="005465E0" w:rsidP="009B50FD">
            <w:pPr>
              <w:pStyle w:val="TableParagraph"/>
              <w:spacing w:before="54"/>
              <w:jc w:val="both"/>
              <w:rPr>
                <w:sz w:val="20"/>
              </w:rPr>
            </w:pPr>
            <w:r w:rsidRPr="00DA1049">
              <w:rPr>
                <w:rFonts w:ascii="Calibri" w:hAnsi="Calibri" w:cs="Calibri"/>
                <w:shd w:val="clear" w:color="auto" w:fill="FFFFFF"/>
              </w:rPr>
              <w:t>Tıbbi amaçlarla kullanılan bitkileri tanıma, Tıbbi bitkilerden elde edilen droglardan tıbbi amaçlı ilaç oluşturulmasında ve satışında bilgi sahibi olma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1F918B21" w14:textId="77777777" w:rsidR="005465E0" w:rsidRPr="006D3947" w:rsidRDefault="005465E0" w:rsidP="005465E0">
            <w:pPr>
              <w:rPr>
                <w:rFonts w:ascii="Calibri" w:hAnsi="Calibri" w:cs="Calibri"/>
                <w:shd w:val="clear" w:color="auto" w:fill="FFFFFF"/>
              </w:rPr>
            </w:pPr>
            <w:r w:rsidRPr="006D3947">
              <w:rPr>
                <w:rFonts w:ascii="Calibri" w:hAnsi="Calibri" w:cs="Calibri"/>
                <w:shd w:val="clear" w:color="auto" w:fill="FFFFFF"/>
              </w:rPr>
              <w:t>BAYTOP, T</w:t>
            </w:r>
            <w:proofErr w:type="gramStart"/>
            <w:r w:rsidRPr="006D3947">
              <w:rPr>
                <w:rFonts w:ascii="Calibri" w:hAnsi="Calibri" w:cs="Calibri"/>
                <w:shd w:val="clear" w:color="auto" w:fill="FFFFFF"/>
              </w:rPr>
              <w:t>.,</w:t>
            </w:r>
            <w:proofErr w:type="gramEnd"/>
            <w:r w:rsidRPr="006D3947">
              <w:rPr>
                <w:rFonts w:ascii="Calibri" w:hAnsi="Calibri" w:cs="Calibri"/>
                <w:shd w:val="clear" w:color="auto" w:fill="FFFFFF"/>
              </w:rPr>
              <w:t xml:space="preserve"> 2021. Türkiye’de Bitkiler ile Tedavi (Geçmişte ve Bugün), Ankara Nobel Tıp Kitabevleri, Ankara.</w:t>
            </w:r>
          </w:p>
          <w:p w14:paraId="2D932943" w14:textId="77777777" w:rsidR="005465E0" w:rsidRPr="006D3947" w:rsidRDefault="005465E0" w:rsidP="005465E0">
            <w:pPr>
              <w:rPr>
                <w:rFonts w:ascii="Calibri" w:hAnsi="Calibri" w:cs="Calibri"/>
                <w:shd w:val="clear" w:color="auto" w:fill="FFFFFF"/>
              </w:rPr>
            </w:pPr>
            <w:r w:rsidRPr="006D3947">
              <w:rPr>
                <w:rFonts w:ascii="Calibri" w:hAnsi="Calibri" w:cs="Calibri"/>
                <w:shd w:val="clear" w:color="auto" w:fill="FFFFFF"/>
              </w:rPr>
              <w:t xml:space="preserve">SHEALY, N. C., 2015. Resimli Şifalı Bitkilerle Tedavi. Çev. Ed. Demirsoy, A. </w:t>
            </w:r>
            <w:proofErr w:type="spellStart"/>
            <w:r w:rsidRPr="006D3947">
              <w:rPr>
                <w:rFonts w:ascii="Calibri" w:hAnsi="Calibri" w:cs="Calibri"/>
                <w:shd w:val="clear" w:color="auto" w:fill="FFFFFF"/>
              </w:rPr>
              <w:t>Palme</w:t>
            </w:r>
            <w:proofErr w:type="spellEnd"/>
            <w:r w:rsidRPr="006D3947">
              <w:rPr>
                <w:rFonts w:ascii="Calibri" w:hAnsi="Calibri" w:cs="Calibri"/>
                <w:shd w:val="clear" w:color="auto" w:fill="FFFFFF"/>
              </w:rPr>
              <w:t xml:space="preserve"> Yayıncılık, Ankara.</w:t>
            </w:r>
          </w:p>
          <w:p w14:paraId="01A2B2A1" w14:textId="77777777" w:rsidR="005465E0" w:rsidRPr="006D3947" w:rsidRDefault="005465E0" w:rsidP="005465E0">
            <w:pPr>
              <w:rPr>
                <w:rFonts w:ascii="Calibri" w:hAnsi="Calibri" w:cs="Calibri"/>
                <w:shd w:val="clear" w:color="auto" w:fill="FFFFFF"/>
              </w:rPr>
            </w:pPr>
            <w:r w:rsidRPr="006D3947">
              <w:rPr>
                <w:rFonts w:ascii="Calibri" w:hAnsi="Calibri" w:cs="Calibri"/>
                <w:shd w:val="clear" w:color="auto" w:fill="FFFFFF"/>
              </w:rPr>
              <w:t>TUZLACI, E., 2016. Türkiye’nin Geleneksel İlaç Bitkileri. İstanbul Tıp Kitabevi, İstanbul.</w:t>
            </w:r>
          </w:p>
          <w:p w14:paraId="59AB824F" w14:textId="77777777" w:rsidR="005465E0" w:rsidRPr="006D3947" w:rsidRDefault="005465E0" w:rsidP="005465E0">
            <w:pPr>
              <w:rPr>
                <w:rFonts w:ascii="Calibri" w:hAnsi="Calibri" w:cs="Calibri"/>
                <w:shd w:val="clear" w:color="auto" w:fill="FFFFFF"/>
              </w:rPr>
            </w:pPr>
            <w:r w:rsidRPr="006D3947">
              <w:rPr>
                <w:rFonts w:ascii="Calibri" w:hAnsi="Calibri" w:cs="Calibri"/>
                <w:shd w:val="clear" w:color="auto" w:fill="FFFFFF"/>
              </w:rPr>
              <w:t>TUZLACI, E., 2006. Şifa Niyetine Türkiye’nin Bitkisel Halk İlaçları. ALFA yayınları, İstanbul.</w:t>
            </w:r>
          </w:p>
          <w:p w14:paraId="6093A56F" w14:textId="1F8A815D" w:rsidR="00871F5E" w:rsidRPr="00423F35" w:rsidRDefault="00871F5E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008A3926" w14:textId="091FAC39" w:rsidR="00630C60" w:rsidRPr="00EA0355" w:rsidRDefault="00661E39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 w:rsidRPr="00EA0355">
              <w:rPr>
                <w:sz w:val="20"/>
              </w:rPr>
              <w:t>(</w:t>
            </w:r>
            <w:r w:rsidR="00C63DB9" w:rsidRPr="00EA0355">
              <w:rPr>
                <w:sz w:val="20"/>
              </w:rPr>
              <w:t>Buraya derste kullanılan ev ödevi, sınıf tartışması, okuma materyali gibi dersin öğretim yöntem ve teknikleri yazılmalıdır.</w:t>
            </w:r>
            <w:r w:rsidRPr="00EA0355">
              <w:rPr>
                <w:sz w:val="20"/>
              </w:rPr>
              <w:t>)</w:t>
            </w: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5465E0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2C72FC87" w14:textId="77777777" w:rsidR="005465E0" w:rsidRPr="00DA1049" w:rsidRDefault="005465E0" w:rsidP="005465E0">
                  <w:pPr>
                    <w:adjustRightInd w:val="0"/>
                    <w:rPr>
                      <w:rFonts w:ascii="Calibri" w:hAnsi="Calibri" w:cs="Calibri"/>
                      <w:shd w:val="clear" w:color="auto" w:fill="FFFFFF"/>
                    </w:rPr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 xml:space="preserve">Drog tanımlaması yapabilme, Türkiye ve AB’ye göre drog </w:t>
                  </w:r>
                </w:p>
                <w:p w14:paraId="3D353CF7" w14:textId="524E8528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standartlarını öğrenebilme</w:t>
                  </w:r>
                </w:p>
              </w:tc>
            </w:tr>
            <w:tr w:rsidR="005465E0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1330ACC7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Drog kurutma tekniklerini ve hazırlama metotlarını kavrayabilme</w:t>
                  </w:r>
                </w:p>
              </w:tc>
            </w:tr>
            <w:tr w:rsidR="005465E0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5465E0" w:rsidRPr="00F13182" w:rsidRDefault="005465E0" w:rsidP="005465E0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4D6104FD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Drogların muhafaza ve satışını öğrenebilme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77777777" w:rsidR="00AE2FFC" w:rsidRDefault="00AE2FFC" w:rsidP="003D5B92">
                  <w:pPr>
                    <w:jc w:val="both"/>
                  </w:pP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77777777" w:rsidR="00AE2FFC" w:rsidRDefault="00AE2FFC" w:rsidP="003D5B92">
                  <w:pPr>
                    <w:jc w:val="both"/>
                  </w:pP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EC1DD9">
        <w:trPr>
          <w:trHeight w:val="3050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6F7080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065D8C1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A9B7C9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19B927C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0B950282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4D145F44" w14:textId="77777777" w:rsidR="006F7080" w:rsidRDefault="006F7080" w:rsidP="006F7080">
                  <w:pPr>
                    <w:jc w:val="both"/>
                  </w:pPr>
                </w:p>
              </w:tc>
            </w:tr>
            <w:tr w:rsidR="006F7080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77777777" w:rsidR="006F7080" w:rsidRDefault="006F7080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76CDFDB6" w14:textId="77777777" w:rsidR="006F7080" w:rsidRDefault="006F7080" w:rsidP="006F7080">
                  <w:pPr>
                    <w:jc w:val="both"/>
                  </w:pPr>
                </w:p>
              </w:tc>
            </w:tr>
            <w:tr w:rsidR="00AE2FFC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316F8ECE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24CB1A7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15EAB685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2FBD6116" w14:textId="77777777" w:rsidR="00AE2FFC" w:rsidRDefault="00AE2FFC" w:rsidP="006F7080">
                  <w:pPr>
                    <w:jc w:val="both"/>
                  </w:pPr>
                </w:p>
              </w:tc>
            </w:tr>
            <w:tr w:rsidR="00AE2FFC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7777777" w:rsidR="00AE2FFC" w:rsidRDefault="00AE2FFC" w:rsidP="006F7080">
                  <w:pPr>
                    <w:jc w:val="both"/>
                  </w:pPr>
                </w:p>
              </w:tc>
              <w:tc>
                <w:tcPr>
                  <w:tcW w:w="8023" w:type="dxa"/>
                </w:tcPr>
                <w:p w14:paraId="6746883F" w14:textId="77777777" w:rsidR="00AE2FFC" w:rsidRDefault="00AE2FFC" w:rsidP="006F7080">
                  <w:pPr>
                    <w:jc w:val="both"/>
                  </w:pP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27278B09" w14:textId="3FBD41F0" w:rsidR="00630C60" w:rsidRPr="00A07762" w:rsidRDefault="00630C60" w:rsidP="009B50FD">
            <w:pPr>
              <w:pStyle w:val="TableParagraph"/>
              <w:jc w:val="both"/>
              <w:rPr>
                <w:sz w:val="20"/>
              </w:rPr>
            </w:pP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lastRenderedPageBreak/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5465E0" w14:paraId="5531A340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5465E0" w:rsidRDefault="005465E0" w:rsidP="005465E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4A626F6" w14:textId="48945B82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Bitkisel drogların tanımı, sınıflandırılması ve adlandırılması</w:t>
                  </w:r>
                </w:p>
              </w:tc>
            </w:tr>
            <w:tr w:rsidR="005465E0" w14:paraId="216EDEF2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5465E0" w:rsidRDefault="005465E0" w:rsidP="005465E0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70E522A4" w14:textId="29A102A9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Türkiye florasının drog üretimi açısından olanakları</w:t>
                  </w:r>
                </w:p>
              </w:tc>
            </w:tr>
            <w:tr w:rsidR="005465E0" w14:paraId="6434823F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13EE06E" w14:textId="2E41BD93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Türkiye ve AB'ye göre drog standartları</w:t>
                  </w:r>
                </w:p>
              </w:tc>
            </w:tr>
            <w:tr w:rsidR="005465E0" w14:paraId="11D43151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5261A85" w14:textId="7ED01AE7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Drogların hazırlanması (toplama, kurutma, saklama)</w:t>
                  </w:r>
                </w:p>
              </w:tc>
            </w:tr>
            <w:tr w:rsidR="005465E0" w14:paraId="468CA674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BC8EF2E" w14:textId="2676D1E0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Drogların elde ediliş yöntemleri</w:t>
                  </w:r>
                </w:p>
              </w:tc>
            </w:tr>
            <w:tr w:rsidR="005465E0" w14:paraId="3404A3ED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9985514" w14:textId="34C7DD11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Drogların kullanılış şekilleri</w:t>
                  </w:r>
                </w:p>
              </w:tc>
            </w:tr>
            <w:tr w:rsidR="005465E0" w14:paraId="63AE3A1B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0AAB2B71" w14:textId="172788EF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eastAsia="Times New Roman" w:hAnsi="Calibri" w:cs="Calibri"/>
                    </w:rPr>
                    <w:t>YARI YIL SINAVI</w:t>
                  </w:r>
                </w:p>
              </w:tc>
            </w:tr>
            <w:tr w:rsidR="005465E0" w14:paraId="7B87F729" w14:textId="77777777" w:rsidTr="00BA36A1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84B7B2" w14:textId="07E6F370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Türkiye’de drog olarak kullanılan tıbbi ve aromatik bitkilerin tanıtılması ve kullanım alanları</w:t>
                  </w:r>
                </w:p>
              </w:tc>
            </w:tr>
            <w:tr w:rsidR="005465E0" w14:paraId="0331CF24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6F03E33F" w14:textId="5768B9E1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Türkiye’de drog olarak kullanılan tıbbi ve aromatik bitkilerin tanıtılması ve kullanım alanları (DEVAM)</w:t>
                  </w:r>
                </w:p>
              </w:tc>
            </w:tr>
            <w:tr w:rsidR="005465E0" w14:paraId="78297F8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5AEE0458" w14:textId="5CFA7217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Türkiye’de drog olarak kullanılan tıbbi ve aromatik bitkilerin tanıtılması ve kullanım alanları (DEVAM)</w:t>
                  </w:r>
                </w:p>
              </w:tc>
            </w:tr>
            <w:tr w:rsidR="005465E0" w14:paraId="4AC17D41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10EAAF7" w14:textId="55007531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 xml:space="preserve">Bitkisel Kaynaklı Ham Maddelerin Kullanımında </w:t>
                  </w:r>
                  <w:proofErr w:type="spellStart"/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Kalite,Etkinlik</w:t>
                  </w:r>
                  <w:proofErr w:type="spellEnd"/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 xml:space="preserve"> ve Güvenlik</w:t>
                  </w:r>
                </w:p>
              </w:tc>
            </w:tr>
            <w:tr w:rsidR="005465E0" w14:paraId="076DECAA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189E2E96" w14:textId="4F221363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Tıbbi ve Aromatik Bitki ve Bitkisel Ürünlerin Kullanımında Etik</w:t>
                  </w:r>
                </w:p>
              </w:tc>
            </w:tr>
            <w:tr w:rsidR="005465E0" w14:paraId="5968C6F7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325A9DE9" w14:textId="096ED252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  <w:shd w:val="clear" w:color="auto" w:fill="FFFFFF"/>
                    </w:rPr>
                    <w:t>Bitkisel Hammadde ve Ürünlerin Kullanımında Dikkat Edilecek Hususlar</w:t>
                  </w:r>
                </w:p>
              </w:tc>
            </w:tr>
            <w:tr w:rsidR="005465E0" w14:paraId="0406DD63" w14:textId="77777777" w:rsidTr="00BA36A1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A6872BF" w14:textId="6A2FEDFF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hAnsi="Calibri" w:cs="Calibri"/>
                    </w:rPr>
                    <w:t>Dersin genel değerlendirmesi</w:t>
                  </w:r>
                </w:p>
              </w:tc>
            </w:tr>
            <w:tr w:rsidR="005465E0" w14:paraId="4B628BEB" w14:textId="77777777" w:rsidTr="00BA36A1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5465E0" w:rsidRDefault="005465E0" w:rsidP="005465E0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  <w:vAlign w:val="bottom"/>
                </w:tcPr>
                <w:p w14:paraId="25D083F1" w14:textId="06FB9311" w:rsidR="005465E0" w:rsidRDefault="005465E0" w:rsidP="005465E0">
                  <w:pPr>
                    <w:jc w:val="both"/>
                  </w:pPr>
                  <w:r w:rsidRPr="00DA1049">
                    <w:rPr>
                      <w:rFonts w:ascii="Calibri" w:eastAsia="Times New Roman" w:hAnsi="Calibri" w:cs="Calibri"/>
                    </w:rPr>
                    <w:t>YIL SONU SINAVI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3EAE2F9A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2D20ED9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3B268C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63477D10" w:rsidR="007F634E" w:rsidRPr="00226CD7" w:rsidRDefault="003B268C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35CF02A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3B268C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791B30CF" w14:textId="77777777" w:rsidR="005354AB" w:rsidRDefault="005354AB" w:rsidP="005354AB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Bu </w:t>
            </w:r>
            <w:proofErr w:type="spellStart"/>
            <w:r>
              <w:rPr>
                <w:sz w:val="18"/>
                <w:szCs w:val="18"/>
                <w:lang w:val="en-US"/>
              </w:rPr>
              <w:t>dersteki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performansınızı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etkileyebilecek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belgelenmiş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US"/>
              </w:rPr>
              <w:t>görme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işitme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veya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fiziksel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vb.) </w:t>
            </w:r>
            <w:proofErr w:type="spellStart"/>
            <w:r>
              <w:rPr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bu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tüm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gereksinimlerini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eşit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şekilde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makul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koşulları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ayarlamak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üzere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Engelsiz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AYBU (</w:t>
            </w:r>
            <w:hyperlink r:id="rId4" w:history="1">
              <w:r>
                <w:rPr>
                  <w:rStyle w:val="Kpr"/>
                  <w:sz w:val="18"/>
                  <w:szCs w:val="18"/>
                  <w:lang w:val="en-US"/>
                </w:rPr>
                <w:t>https://aybu.edu.tr/engelsiz/içerik_listesi-327-yildirim-beyazit-universitesi-engelsiz-universite-birimi-yonergesi.html</w:t>
              </w:r>
            </w:hyperlink>
            <w:r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görüşmeniz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önerilir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Ayrıca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Sağlık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Hizmetleri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Meslek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Yüksekokulu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yönetimiyle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de </w:t>
            </w:r>
            <w:proofErr w:type="spellStart"/>
            <w:r>
              <w:rPr>
                <w:sz w:val="18"/>
                <w:szCs w:val="18"/>
                <w:lang w:val="en-US"/>
              </w:rPr>
              <w:t>iletişime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geçebilirsiniz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US"/>
              </w:rPr>
              <w:t>Sınavlar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materyalleri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vb. </w:t>
            </w:r>
            <w:proofErr w:type="spellStart"/>
            <w:r>
              <w:rPr>
                <w:sz w:val="18"/>
                <w:szCs w:val="18"/>
                <w:lang w:val="en-US"/>
              </w:rPr>
              <w:t>ile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ilgili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herhangi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bir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ihtiyacının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karşılanmasını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sağlamak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için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ihtiyaçlarınızı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mümkün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olan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en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kısa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sürede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ders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öğretim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elemanına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bildirmelisiniz</w:t>
            </w:r>
            <w:proofErr w:type="spellEnd"/>
            <w:r>
              <w:rPr>
                <w:sz w:val="18"/>
                <w:szCs w:val="18"/>
                <w:lang w:val="en-US"/>
              </w:rPr>
              <w:t>.</w:t>
            </w:r>
          </w:p>
          <w:p w14:paraId="07970C4D" w14:textId="7EDF88AE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B4555"/>
    <w:rsid w:val="00206D7B"/>
    <w:rsid w:val="00284643"/>
    <w:rsid w:val="00296B46"/>
    <w:rsid w:val="002C43F4"/>
    <w:rsid w:val="00307168"/>
    <w:rsid w:val="003404B8"/>
    <w:rsid w:val="003642A1"/>
    <w:rsid w:val="003B268C"/>
    <w:rsid w:val="003D56F8"/>
    <w:rsid w:val="003D5B92"/>
    <w:rsid w:val="00416BD3"/>
    <w:rsid w:val="00423F35"/>
    <w:rsid w:val="0043309A"/>
    <w:rsid w:val="00440654"/>
    <w:rsid w:val="0048206C"/>
    <w:rsid w:val="004C48BD"/>
    <w:rsid w:val="005060AA"/>
    <w:rsid w:val="005354AB"/>
    <w:rsid w:val="005465E0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C3723"/>
    <w:rsid w:val="007F5803"/>
    <w:rsid w:val="007F634E"/>
    <w:rsid w:val="00812C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BC6E60"/>
    <w:rsid w:val="00C57A35"/>
    <w:rsid w:val="00C63DB9"/>
    <w:rsid w:val="00CC3B7A"/>
    <w:rsid w:val="00CC7DF4"/>
    <w:rsid w:val="00D26E72"/>
    <w:rsid w:val="00D32D8D"/>
    <w:rsid w:val="00DB0918"/>
    <w:rsid w:val="00DD6DCD"/>
    <w:rsid w:val="00DF0DA0"/>
    <w:rsid w:val="00EA0355"/>
    <w:rsid w:val="00EA2E4A"/>
    <w:rsid w:val="00EB0594"/>
    <w:rsid w:val="00EC1DD9"/>
    <w:rsid w:val="00EE3856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ybu.edu.tr/engelsiz/i&#231;erik_listesi-327-yildirim-beyazit-universitesi-engelsiz-universite-birimi-yonerges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4</cp:revision>
  <dcterms:created xsi:type="dcterms:W3CDTF">2025-10-20T09:16:00Z</dcterms:created>
  <dcterms:modified xsi:type="dcterms:W3CDTF">2025-11-16T18:05:00Z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