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728F46DB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1D74C7">
              <w:rPr>
                <w:b/>
                <w:sz w:val="20"/>
                <w:szCs w:val="20"/>
                <w:lang w:val="en-US"/>
              </w:rPr>
              <w:t>GIDA İŞLEME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7B56DA6E" w:rsidR="00867237" w:rsidRPr="00A07762" w:rsidRDefault="00465823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GTE211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54B88D19" w:rsidR="00867237" w:rsidRPr="00A07762" w:rsidRDefault="00465823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Fermentasyon Teknolojisi</w:t>
            </w:r>
          </w:p>
        </w:tc>
        <w:tc>
          <w:tcPr>
            <w:tcW w:w="1276" w:type="dxa"/>
            <w:vAlign w:val="center"/>
          </w:tcPr>
          <w:p w14:paraId="5F1041FB" w14:textId="77777777" w:rsidR="001D74C7" w:rsidRDefault="001D74C7" w:rsidP="00465823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1CB4682D" w14:textId="508024CA" w:rsidR="00465823" w:rsidRPr="00A07762" w:rsidRDefault="00867237" w:rsidP="00465823">
            <w:pPr>
              <w:pStyle w:val="TableParagraph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14:paraId="2EDFD95E" w14:textId="4E06A924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2AD12D1C" w14:textId="77777777" w:rsidR="001D74C7" w:rsidRDefault="00465823" w:rsidP="004658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  <w:r w:rsidR="001D74C7">
              <w:rPr>
                <w:rFonts w:ascii="Times New Roman"/>
                <w:sz w:val="20"/>
              </w:rPr>
              <w:t xml:space="preserve">             </w:t>
            </w:r>
            <w:r>
              <w:rPr>
                <w:rFonts w:ascii="Times New Roman"/>
                <w:sz w:val="20"/>
              </w:rPr>
              <w:t xml:space="preserve"> </w:t>
            </w:r>
            <w:r w:rsidR="001D74C7">
              <w:rPr>
                <w:rFonts w:ascii="Times New Roman"/>
                <w:sz w:val="20"/>
              </w:rPr>
              <w:t xml:space="preserve">   </w:t>
            </w:r>
          </w:p>
          <w:p w14:paraId="66BD4582" w14:textId="5FBF7F36" w:rsidR="00867237" w:rsidRPr="00A07762" w:rsidRDefault="001D74C7" w:rsidP="00465823">
            <w:pPr>
              <w:pStyle w:val="TableParagraph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4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3A908C51" w:rsidR="00867237" w:rsidRPr="00A07762" w:rsidRDefault="002F7C18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24.10.2025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41834871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D74C7">
              <w:rPr>
                <w:sz w:val="20"/>
              </w:rPr>
              <w:t xml:space="preserve">   </w:t>
            </w:r>
            <w:r w:rsidR="00236C50">
              <w:rPr>
                <w:sz w:val="20"/>
              </w:rPr>
              <w:t>Doç. Dr. Seda Dicle KORKMAZ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74A44FBB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1D74C7">
              <w:rPr>
                <w:b/>
                <w:bCs/>
                <w:sz w:val="20"/>
              </w:rPr>
              <w:t xml:space="preserve">  </w:t>
            </w:r>
            <w:r w:rsidR="00236C50">
              <w:rPr>
                <w:sz w:val="20"/>
              </w:rPr>
              <w:t>Perşembe 15:00-17:00</w:t>
            </w:r>
            <w:r w:rsidR="004A77DC">
              <w:rPr>
                <w:sz w:val="20"/>
              </w:rPr>
              <w:t xml:space="preserve">   D6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2C03EC27" w:rsidR="00630C60" w:rsidRPr="00A07762" w:rsidRDefault="00FD1F8C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FD1F8C">
              <w:rPr>
                <w:sz w:val="20"/>
              </w:rPr>
              <w:t xml:space="preserve">Fermantasyonun tanımı, fermantasyon mikroorganizmaları, fermantasyon kinetiği, alkol fermantasyonu ve diğer fermantasyonlar, distile alkollü içkiler teknolojisi, şarap teknolojisi, bira teknolojisi, sirke teknolojisi, laktik asit fermantasyonları ve teknolojileri, fermente ürünlerde kalite </w:t>
            </w:r>
            <w:proofErr w:type="spellStart"/>
            <w:proofErr w:type="gramStart"/>
            <w:r w:rsidRPr="00FD1F8C">
              <w:rPr>
                <w:sz w:val="20"/>
              </w:rPr>
              <w:t>analizleri.</w:t>
            </w:r>
            <w:r w:rsidR="0088061B" w:rsidRPr="0088061B">
              <w:rPr>
                <w:sz w:val="20"/>
              </w:rPr>
              <w:t>Fermantasyon</w:t>
            </w:r>
            <w:proofErr w:type="spellEnd"/>
            <w:proofErr w:type="gramEnd"/>
            <w:r w:rsidR="0088061B" w:rsidRPr="0088061B">
              <w:rPr>
                <w:sz w:val="20"/>
              </w:rPr>
              <w:t xml:space="preserve"> teknolojisinin tanımı ve önemi, fermente gıdaların özellikleri ve üretim teknolojileri açıklamak. Alkolü içkilerin üretim prosesleri ve özellikleri tanımlamak. Gerek fermente, gerekse damıtık içkilerde oluşabilecek sorunlar açıklayıp, çözüm önerileri getirmek.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466F0B83" w14:textId="46002515" w:rsidR="00607F14" w:rsidRDefault="004A77DC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</w:t>
            </w:r>
            <w:r w:rsidR="00607F14">
              <w:rPr>
                <w:iCs/>
                <w:sz w:val="20"/>
              </w:rPr>
              <w:t>Fermente Ürünler Teknolojisi ve Mikrobiyolojisi, 2020, Ed</w:t>
            </w:r>
            <w:r>
              <w:rPr>
                <w:iCs/>
                <w:sz w:val="20"/>
              </w:rPr>
              <w:t>i</w:t>
            </w:r>
            <w:r w:rsidR="00607F14">
              <w:rPr>
                <w:iCs/>
                <w:sz w:val="20"/>
              </w:rPr>
              <w:t>t</w:t>
            </w:r>
            <w:r>
              <w:rPr>
                <w:iCs/>
                <w:sz w:val="20"/>
              </w:rPr>
              <w:t>ör</w:t>
            </w:r>
            <w:r w:rsidR="00607F14">
              <w:rPr>
                <w:iCs/>
                <w:sz w:val="20"/>
              </w:rPr>
              <w:t>: Osman Erkmen, Hüseyin Erten</w:t>
            </w:r>
            <w:r w:rsidR="00FD1F8C">
              <w:rPr>
                <w:iCs/>
                <w:sz w:val="20"/>
              </w:rPr>
              <w:t>( Nobel akademi)</w:t>
            </w:r>
          </w:p>
          <w:p w14:paraId="6093A56F" w14:textId="04FCB1E0" w:rsidR="00607F14" w:rsidRPr="00423F35" w:rsidRDefault="00607F14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Fermente Gıdalar, 2019, </w:t>
            </w:r>
            <w:r w:rsidR="004A77DC">
              <w:rPr>
                <w:iCs/>
                <w:sz w:val="20"/>
              </w:rPr>
              <w:t xml:space="preserve">Editör: Prof. Dr. Ertan Anlı, Doç. Dr. Pınar </w:t>
            </w:r>
            <w:proofErr w:type="spellStart"/>
            <w:r w:rsidR="004A77DC">
              <w:rPr>
                <w:iCs/>
                <w:sz w:val="20"/>
              </w:rPr>
              <w:t>Şanlıbaba</w:t>
            </w:r>
            <w:proofErr w:type="spellEnd"/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91FAC39" w:rsidR="00630C60" w:rsidRPr="00EA0355" w:rsidRDefault="00661E3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</w:t>
            </w:r>
            <w:r w:rsidR="00C63DB9" w:rsidRPr="00EA0355">
              <w:rPr>
                <w:sz w:val="20"/>
              </w:rPr>
              <w:t>Buraya derste kullanılan ev ödevi, sınıf tartışması, okuma materyali gibi dersin öğretim yöntem ve teknikleri yazılmalıdır.</w:t>
            </w:r>
            <w:r w:rsidRPr="00EA0355">
              <w:rPr>
                <w:sz w:val="20"/>
              </w:rPr>
              <w:t>)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9D4E27" w:rsidRDefault="003D5B92" w:rsidP="003D5B92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D4E27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78844701" w:rsidR="003D5B92" w:rsidRPr="009D4E27" w:rsidRDefault="009D4E27" w:rsidP="003D5B92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D4E27">
                    <w:rPr>
                      <w:rFonts w:ascii="Tahoma" w:hAnsi="Tahoma" w:cs="Tahoma"/>
                      <w:sz w:val="16"/>
                      <w:szCs w:val="16"/>
                    </w:rPr>
                    <w:t>Fermentasyon mikrobiyolojisinin gıda mikrobiyolojisinden farkını açıklar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9D4E27" w:rsidRDefault="003D5B92" w:rsidP="003D5B92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D4E27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05A4F83D" w:rsidR="003D5B92" w:rsidRPr="009D4E27" w:rsidRDefault="009D4E27" w:rsidP="003D5B92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D4E27">
                    <w:rPr>
                      <w:rFonts w:ascii="Tahoma" w:hAnsi="Tahoma" w:cs="Tahoma"/>
                      <w:sz w:val="16"/>
                      <w:szCs w:val="16"/>
                    </w:rPr>
                    <w:t>Geleneksel fermente gıdalara yeni karakterler kazandırılması yönündeki yaklaşımları açıklar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9D4E27" w:rsidRDefault="003D5B92" w:rsidP="003D5B92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D4E27">
                    <w:rPr>
                      <w:rFonts w:ascii="Tahoma" w:hAnsi="Tahoma" w:cs="Tahom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04516E12" w:rsidR="003D5B92" w:rsidRPr="009D4E27" w:rsidRDefault="009D4E27" w:rsidP="003D5B92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D4E27">
                    <w:rPr>
                      <w:rFonts w:ascii="Tahoma" w:hAnsi="Tahoma" w:cs="Tahoma"/>
                      <w:sz w:val="16"/>
                      <w:szCs w:val="16"/>
                    </w:rPr>
                    <w:t xml:space="preserve">Fermente gıdaların ve </w:t>
                  </w:r>
                  <w:proofErr w:type="spellStart"/>
                  <w:r w:rsidRPr="009D4E27">
                    <w:rPr>
                      <w:rFonts w:ascii="Tahoma" w:hAnsi="Tahoma" w:cs="Tahoma"/>
                      <w:sz w:val="16"/>
                      <w:szCs w:val="16"/>
                    </w:rPr>
                    <w:t>alkollüiçkilerin</w:t>
                  </w:r>
                  <w:proofErr w:type="spellEnd"/>
                  <w:r w:rsidRPr="009D4E27">
                    <w:rPr>
                      <w:rFonts w:ascii="Tahoma" w:hAnsi="Tahoma" w:cs="Tahoma"/>
                      <w:sz w:val="16"/>
                      <w:szCs w:val="16"/>
                    </w:rPr>
                    <w:t xml:space="preserve"> üretim süreçlerini tanıtır.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9D4E27" w:rsidRDefault="00AE2FFC" w:rsidP="003D5B92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D4E27"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22C4F1FD" w:rsidR="00AE2FFC" w:rsidRPr="009D4E27" w:rsidRDefault="009D4E27" w:rsidP="003D5B92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D4E27">
                    <w:rPr>
                      <w:rFonts w:ascii="Tahoma" w:hAnsi="Tahoma" w:cs="Tahoma"/>
                      <w:sz w:val="16"/>
                      <w:szCs w:val="16"/>
                    </w:rPr>
                    <w:t>Fermente ürünlerde kalite kriterlerini belirleyerek gerekli analizlerle izlenmesini sağlar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9D4E27" w:rsidRDefault="00AE2FFC" w:rsidP="003D5B92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D4E27">
                    <w:rPr>
                      <w:rFonts w:ascii="Tahoma" w:hAnsi="Tahoma" w:cs="Tahom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0D8CAA62" w:rsidR="00AE2FFC" w:rsidRPr="009D4E27" w:rsidRDefault="009D4E27" w:rsidP="003D5B92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D4E27">
                    <w:rPr>
                      <w:rFonts w:ascii="Tahoma" w:hAnsi="Tahoma" w:cs="Tahoma"/>
                      <w:sz w:val="16"/>
                      <w:szCs w:val="16"/>
                    </w:rPr>
                    <w:t>Fermente ürünlerde oluşabilecek sorunları açıklayıp, çözüm önerileri getirir.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9D4E27" w:rsidRDefault="00AE2FFC" w:rsidP="003D5B92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D4E27">
                    <w:rPr>
                      <w:rFonts w:ascii="Tahoma" w:hAnsi="Tahoma" w:cs="Tahom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9D4E27" w:rsidRDefault="00AE2FFC" w:rsidP="003D5B92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D4E27">
                    <w:rPr>
                      <w:rFonts w:ascii="Tahoma" w:hAnsi="Tahoma" w:cs="Tahom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Default="00AE2FFC" w:rsidP="003D5B92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F6074C">
        <w:trPr>
          <w:trHeight w:val="53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4703C988" w:rsidR="006F7080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t>P1</w:t>
                  </w:r>
                </w:p>
              </w:tc>
              <w:tc>
                <w:tcPr>
                  <w:tcW w:w="8023" w:type="dxa"/>
                </w:tcPr>
                <w:p w14:paraId="7A9B7C94" w14:textId="5817441D" w:rsidR="006F7080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Gıda maddelerini ve bileşenlerini tanımak ve sağlık açısından önemini bilmek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04C608AB" w:rsidR="006F7080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t>P2</w:t>
                  </w:r>
                </w:p>
              </w:tc>
              <w:tc>
                <w:tcPr>
                  <w:tcW w:w="8023" w:type="dxa"/>
                </w:tcPr>
                <w:p w14:paraId="419B927C" w14:textId="2652870E" w:rsidR="006F7080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Gıda ile ilgili her türlü zincirde fiziksel, kimyasal ve mikrobiyolojik tehlikeleri ve korunma tedbirlerini bilmek ve uygulamak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C498D3C" w:rsidR="006F7080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t>P3</w:t>
                  </w:r>
                </w:p>
              </w:tc>
              <w:tc>
                <w:tcPr>
                  <w:tcW w:w="8023" w:type="dxa"/>
                </w:tcPr>
                <w:p w14:paraId="0B950282" w14:textId="0A582BCF" w:rsidR="006F7080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Gıda üretim aşamalarını bilmek ve çıkabilecek sorunlarla baş edebilmek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6DA2BEFA" w:rsidR="006F7080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t>P4</w:t>
                  </w:r>
                </w:p>
              </w:tc>
              <w:tc>
                <w:tcPr>
                  <w:tcW w:w="8023" w:type="dxa"/>
                </w:tcPr>
                <w:p w14:paraId="4D145F44" w14:textId="710B6E16" w:rsidR="006F7080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Laboratuvarda temel hazırlık işlemlerini, müfredat kapsamında gösterilen analizleri yapmak ve yorumlamak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640E19" w:rsidR="006F7080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t>P5</w:t>
                  </w:r>
                </w:p>
              </w:tc>
              <w:tc>
                <w:tcPr>
                  <w:tcW w:w="8023" w:type="dxa"/>
                </w:tcPr>
                <w:p w14:paraId="76CDFDB6" w14:textId="0BB3E2B0" w:rsidR="006F7080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Katkı maddelerini tanımak, etkilerini ve kullanımlarını bilmek</w:t>
                  </w: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2C394983" w:rsidR="00AE2FFC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t>P6</w:t>
                  </w:r>
                </w:p>
              </w:tc>
              <w:tc>
                <w:tcPr>
                  <w:tcW w:w="8023" w:type="dxa"/>
                </w:tcPr>
                <w:p w14:paraId="316F8ECE" w14:textId="20AA402D" w:rsidR="00AE2FFC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Yönetmelik ve mevzuatlara ulaşma, okuma ve yorumlama yeteneğinde olmak</w:t>
                  </w: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01B84051" w:rsidR="00AE2FFC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t>P7</w:t>
                  </w:r>
                </w:p>
              </w:tc>
              <w:tc>
                <w:tcPr>
                  <w:tcW w:w="8023" w:type="dxa"/>
                </w:tcPr>
                <w:p w14:paraId="224CB1A7" w14:textId="0BDCDF80" w:rsidR="00AE2FFC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Hijyen ve sanitasyon konusunda bilgi sahibi olmak ve uygulayabilmek</w:t>
                  </w: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2134F507" w:rsidR="00AE2FFC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t>P8</w:t>
                  </w:r>
                </w:p>
              </w:tc>
              <w:tc>
                <w:tcPr>
                  <w:tcW w:w="8023" w:type="dxa"/>
                </w:tcPr>
                <w:p w14:paraId="15EAB685" w14:textId="31CDD24B" w:rsidR="00AE2FFC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Gıdalara uygulanan temel işlemleri bilmek</w:t>
                  </w: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52F96A78" w:rsidR="00AE2FFC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t>P9</w:t>
                  </w:r>
                </w:p>
              </w:tc>
              <w:tc>
                <w:tcPr>
                  <w:tcW w:w="8023" w:type="dxa"/>
                </w:tcPr>
                <w:p w14:paraId="2FBD6116" w14:textId="0E3EA4CD" w:rsidR="00AE2FFC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Gıda işletmelerinde kullanılan makinelerin genel özelliklerini bilmek</w:t>
                  </w:r>
                </w:p>
              </w:tc>
            </w:tr>
            <w:tr w:rsidR="00AE2FFC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5BE79F8" w:rsidR="00AE2FFC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t>P10</w:t>
                  </w:r>
                </w:p>
              </w:tc>
              <w:tc>
                <w:tcPr>
                  <w:tcW w:w="8023" w:type="dxa"/>
                </w:tcPr>
                <w:p w14:paraId="6746883F" w14:textId="36A65130" w:rsidR="00AE2FFC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Gıda Teknolojisi alanında edindiği bilgi ve beceriler düzeyindeki düşüncelerini ve önerilerini ilgililere yazılı ve sözlü olarak aktarabilme</w:t>
                  </w:r>
                </w:p>
              </w:tc>
            </w:tr>
            <w:tr w:rsidR="00D17F1E" w14:paraId="1AE6CBAC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9677889" w14:textId="663966FF" w:rsidR="00D17F1E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t>P11</w:t>
                  </w:r>
                </w:p>
              </w:tc>
              <w:tc>
                <w:tcPr>
                  <w:tcW w:w="8023" w:type="dxa"/>
                </w:tcPr>
                <w:p w14:paraId="418809A5" w14:textId="2CB2B9E3" w:rsidR="00D17F1E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Gıda Teknolojisi alanında sorunları algılayarak yorumlar yapabilmek ve çözüm önerileri getirmek</w:t>
                  </w:r>
                </w:p>
              </w:tc>
            </w:tr>
            <w:tr w:rsidR="00D17F1E" w14:paraId="5DECCB47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C9C9FE4" w14:textId="4D3493D2" w:rsidR="00D17F1E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t>P12</w:t>
                  </w:r>
                </w:p>
              </w:tc>
              <w:tc>
                <w:tcPr>
                  <w:tcW w:w="8023" w:type="dxa"/>
                </w:tcPr>
                <w:p w14:paraId="2FAEBF47" w14:textId="36F1D0A9" w:rsidR="00D17F1E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Kalite, gıda güvenliği, çevre bilinci, iş sağlığı ve güvenliği konularında yeterli bilince sahip olma</w:t>
                  </w:r>
                </w:p>
              </w:tc>
            </w:tr>
            <w:tr w:rsidR="00D17F1E" w14:paraId="7CE54683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CDCE4FA" w14:textId="21A1E9BC" w:rsidR="00D17F1E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t>P13</w:t>
                  </w:r>
                </w:p>
              </w:tc>
              <w:tc>
                <w:tcPr>
                  <w:tcW w:w="8023" w:type="dxa"/>
                </w:tcPr>
                <w:p w14:paraId="51491CDE" w14:textId="1F96D90B" w:rsidR="00D17F1E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Mesleki ve etik sorumluluk bilincine sahip olabilme</w:t>
                  </w:r>
                </w:p>
              </w:tc>
            </w:tr>
            <w:tr w:rsidR="00D17F1E" w14:paraId="47DEA52F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7B169D2A" w14:textId="679CD5FA" w:rsidR="00D17F1E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t>P14</w:t>
                  </w:r>
                </w:p>
              </w:tc>
              <w:tc>
                <w:tcPr>
                  <w:tcW w:w="8023" w:type="dxa"/>
                </w:tcPr>
                <w:p w14:paraId="2D985416" w14:textId="542C57BF" w:rsidR="00D17F1E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Gıda Teknolojisi alanında kendi öğrenme gereksinimini belirleyebilmek, değişime ve yeniliğe karşı açık olmak, araştırma yapabilmek ve edindiği bilgileri uygulayabilmek</w:t>
                  </w:r>
                </w:p>
              </w:tc>
            </w:tr>
            <w:tr w:rsidR="00D17F1E" w14:paraId="6E4DC989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1B8E407" w14:textId="14E6BE9F" w:rsidR="00D17F1E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t>P15</w:t>
                  </w:r>
                </w:p>
              </w:tc>
              <w:tc>
                <w:tcPr>
                  <w:tcW w:w="8023" w:type="dxa"/>
                </w:tcPr>
                <w:p w14:paraId="2D108868" w14:textId="79C5B362" w:rsidR="00D17F1E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Mesleği ile ilgili alanlarda kuramsal ve uygulamalı bilgileri bilmek ve kullanabilme</w:t>
                  </w:r>
                </w:p>
              </w:tc>
            </w:tr>
            <w:tr w:rsidR="00D17F1E" w14:paraId="135D51D4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10C46" w14:textId="1E03AB7D" w:rsidR="00D17F1E" w:rsidRPr="009D4E27" w:rsidRDefault="00D17F1E" w:rsidP="006F7080">
                  <w:pPr>
                    <w:jc w:val="both"/>
                    <w:rPr>
                      <w:sz w:val="16"/>
                      <w:szCs w:val="16"/>
                    </w:rPr>
                  </w:pPr>
                  <w:r w:rsidRPr="009D4E27">
                    <w:rPr>
                      <w:sz w:val="16"/>
                      <w:szCs w:val="16"/>
                    </w:rPr>
                    <w:lastRenderedPageBreak/>
                    <w:t>P16</w:t>
                  </w:r>
                </w:p>
              </w:tc>
              <w:tc>
                <w:tcPr>
                  <w:tcW w:w="8023" w:type="dxa"/>
                </w:tcPr>
                <w:p w14:paraId="5CF08CFB" w14:textId="3FB40044" w:rsidR="00D17F1E" w:rsidRPr="00F37913" w:rsidRDefault="00D17F1E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37913">
                    <w:rPr>
                      <w:rFonts w:cstheme="minorHAnsi"/>
                      <w:color w:val="3B3A36"/>
                      <w:sz w:val="20"/>
                      <w:szCs w:val="20"/>
                      <w:shd w:val="clear" w:color="auto" w:fill="CCE0FC"/>
                    </w:rPr>
                    <w:t>Bireysel ve örgütsel iletişim kurma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67E1EB6A" w:rsidR="00630C60" w:rsidRPr="00A07762" w:rsidRDefault="00212AAD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Fermentasyon temel prensipleri, gıda endüstrisinde kullanılan fermentasyon türleri ve etkili mikroorganizmalar ve fermente gıda ürünleri hakkında bilgi edinerek konunun gıda güvenliği ve raf ömrü üzerindeki etkilerini anlamak.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RPr="00F37913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F37913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33AE7075" w:rsidR="00AE2FFC" w:rsidRPr="00F37913" w:rsidRDefault="00F40733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Fermentasyon tanımı ve önemi</w:t>
                  </w:r>
                </w:p>
              </w:tc>
            </w:tr>
            <w:tr w:rsidR="00AE2FFC" w:rsidRPr="00F37913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F37913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0A81B8FC" w:rsidR="00AE2FFC" w:rsidRPr="00F37913" w:rsidRDefault="00F40733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Endüstriyel mikroorganizmalar</w:t>
                  </w:r>
                </w:p>
              </w:tc>
            </w:tr>
            <w:tr w:rsidR="00AE2FFC" w:rsidRPr="00F37913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F37913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0DA8764A" w:rsidR="00AE2FFC" w:rsidRPr="00F37913" w:rsidRDefault="00F40733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Sirke Üretim Teknolojisi</w:t>
                  </w:r>
                </w:p>
              </w:tc>
            </w:tr>
            <w:tr w:rsidR="00AE2FFC" w:rsidRPr="00F37913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F37913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1EC18DB0" w:rsidR="00AE2FFC" w:rsidRPr="00F37913" w:rsidRDefault="00F40733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Şarap Üretim Teknolojisi I</w:t>
                  </w:r>
                </w:p>
              </w:tc>
            </w:tr>
            <w:tr w:rsidR="00F40733" w:rsidRPr="00F37913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718CD362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Şarap Üretim Teknolojisi II</w:t>
                  </w:r>
                </w:p>
              </w:tc>
            </w:tr>
            <w:tr w:rsidR="00F40733" w:rsidRPr="00F37913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0763B99B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Turşu Üretimi</w:t>
                  </w:r>
                </w:p>
              </w:tc>
            </w:tr>
            <w:tr w:rsidR="00F40733" w:rsidRPr="00F37913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2561B706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Sofralık Zeytin Üretimi I</w:t>
                  </w:r>
                </w:p>
              </w:tc>
            </w:tr>
            <w:tr w:rsidR="00F40733" w:rsidRPr="00F37913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4AD8D3A4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Sofralık Zeytin Üretimi II</w:t>
                  </w:r>
                </w:p>
              </w:tc>
            </w:tr>
            <w:tr w:rsidR="00F40733" w:rsidRPr="00F37913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05B998B7" w:rsidR="00F40733" w:rsidRPr="00F37913" w:rsidRDefault="00F3791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Ara Sınav</w:t>
                  </w:r>
                </w:p>
              </w:tc>
            </w:tr>
            <w:tr w:rsidR="00F40733" w:rsidRPr="00F37913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3ADA7518" w:rsidR="00F40733" w:rsidRPr="00F37913" w:rsidRDefault="00F3791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Ekşi Hamur Üretimi</w:t>
                  </w:r>
                </w:p>
              </w:tc>
            </w:tr>
            <w:tr w:rsidR="00F40733" w:rsidRPr="00F37913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6A70D91A" w:rsidR="00F40733" w:rsidRPr="00F37913" w:rsidRDefault="00F3791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Bira Üretimi</w:t>
                  </w:r>
                </w:p>
              </w:tc>
            </w:tr>
            <w:tr w:rsidR="00F40733" w:rsidRPr="00F37913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7DF144D4" w:rsidR="00F40733" w:rsidRPr="00F37913" w:rsidRDefault="00F3791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Şalgam Suyu Üretimi</w:t>
                  </w:r>
                </w:p>
              </w:tc>
            </w:tr>
            <w:tr w:rsidR="00F40733" w:rsidRPr="00F37913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191FA46B" w:rsidR="00F40733" w:rsidRPr="00F37913" w:rsidRDefault="00F3791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Boza Üretimi</w:t>
                  </w:r>
                </w:p>
              </w:tc>
            </w:tr>
            <w:tr w:rsidR="00F40733" w:rsidRPr="00F37913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1C2A6A4E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Damıtık içkiler üretim ve teknolojisi</w:t>
                  </w:r>
                </w:p>
              </w:tc>
            </w:tr>
            <w:tr w:rsidR="00F40733" w:rsidRPr="00F37913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5537B581" w:rsidR="00F40733" w:rsidRPr="00F37913" w:rsidRDefault="00F40733" w:rsidP="00F40733">
                  <w:pPr>
                    <w:jc w:val="both"/>
                    <w:rPr>
                      <w:sz w:val="20"/>
                      <w:szCs w:val="20"/>
                    </w:rPr>
                  </w:pPr>
                  <w:r w:rsidRPr="00F37913">
                    <w:rPr>
                      <w:sz w:val="20"/>
                      <w:szCs w:val="20"/>
                    </w:rPr>
                    <w:t>Yarı yıl Sonu Sınavı</w:t>
                  </w:r>
                </w:p>
              </w:tc>
            </w:tr>
          </w:tbl>
          <w:p w14:paraId="00084DD6" w14:textId="1E67CA0A" w:rsidR="005060AA" w:rsidRPr="00F37913" w:rsidRDefault="005060AA" w:rsidP="009B50FD">
            <w:pPr>
              <w:jc w:val="both"/>
              <w:rPr>
                <w:sz w:val="20"/>
                <w:szCs w:val="20"/>
              </w:rPr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4F790F8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2F7C18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6BABC48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2F7C18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097DACD3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1F0BCF" w:rsidRPr="001F0BCF">
              <w:rPr>
                <w:sz w:val="18"/>
                <w:szCs w:val="18"/>
              </w:rPr>
              <w:t>Sağlık Hizmetleri Meslek Yüksekokulu</w:t>
            </w:r>
            <w:r w:rsidR="001F0BCF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1D74C7"/>
    <w:rsid w:val="001F0BCF"/>
    <w:rsid w:val="00206D7B"/>
    <w:rsid w:val="00212AAD"/>
    <w:rsid w:val="00236C50"/>
    <w:rsid w:val="00284643"/>
    <w:rsid w:val="00296B46"/>
    <w:rsid w:val="002C43F4"/>
    <w:rsid w:val="002F7C18"/>
    <w:rsid w:val="00307168"/>
    <w:rsid w:val="003404B8"/>
    <w:rsid w:val="003642A1"/>
    <w:rsid w:val="003D5B92"/>
    <w:rsid w:val="00416BD3"/>
    <w:rsid w:val="00423F35"/>
    <w:rsid w:val="0043309A"/>
    <w:rsid w:val="00440654"/>
    <w:rsid w:val="00465823"/>
    <w:rsid w:val="0048206C"/>
    <w:rsid w:val="004A77DC"/>
    <w:rsid w:val="004B25DC"/>
    <w:rsid w:val="004C48BD"/>
    <w:rsid w:val="005060AA"/>
    <w:rsid w:val="00574951"/>
    <w:rsid w:val="005833E5"/>
    <w:rsid w:val="00597347"/>
    <w:rsid w:val="00607F14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8061B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9D4E27"/>
    <w:rsid w:val="00A07762"/>
    <w:rsid w:val="00A27A75"/>
    <w:rsid w:val="00AE2FFC"/>
    <w:rsid w:val="00AF5B8B"/>
    <w:rsid w:val="00B75D3B"/>
    <w:rsid w:val="00BA0934"/>
    <w:rsid w:val="00BC180B"/>
    <w:rsid w:val="00C13427"/>
    <w:rsid w:val="00C57A35"/>
    <w:rsid w:val="00C63DB9"/>
    <w:rsid w:val="00CC3B7A"/>
    <w:rsid w:val="00CC7DF4"/>
    <w:rsid w:val="00D17F1E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37913"/>
    <w:rsid w:val="00F40733"/>
    <w:rsid w:val="00F6074C"/>
    <w:rsid w:val="00FA0D12"/>
    <w:rsid w:val="00FA47B9"/>
    <w:rsid w:val="00FD1F8C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3</cp:revision>
  <dcterms:created xsi:type="dcterms:W3CDTF">2025-10-27T10:34:00Z</dcterms:created>
  <dcterms:modified xsi:type="dcterms:W3CDTF">2025-11-11T08:09:00Z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