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5C39C9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7B0D04" w:rsidRPr="002A66B4">
              <w:rPr>
                <w:rFonts w:ascii="Times New Roman" w:hAnsi="Times New Roman"/>
              </w:rPr>
              <w:t xml:space="preserve"> </w:t>
            </w:r>
            <w:r w:rsidR="007B0D04" w:rsidRPr="007B0D04">
              <w:rPr>
                <w:b/>
                <w:bCs/>
                <w:sz w:val="20"/>
                <w:szCs w:val="20"/>
              </w:rPr>
              <w:t>ÇOCUK BAKIM VE GENÇLİK HİZMETLERİ</w:t>
            </w:r>
            <w:r w:rsidR="007B0D04" w:rsidRPr="007B0D04">
              <w:rPr>
                <w:b/>
                <w:spacing w:val="-2"/>
                <w:sz w:val="20"/>
                <w:szCs w:val="20"/>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4535776" w:rsidR="00867237" w:rsidRPr="00A07762" w:rsidRDefault="007B0D04" w:rsidP="00423F35">
            <w:pPr>
              <w:pStyle w:val="TableParagraph"/>
              <w:ind w:left="62" w:right="47"/>
              <w:jc w:val="center"/>
              <w:rPr>
                <w:sz w:val="20"/>
              </w:rPr>
            </w:pPr>
            <w:r>
              <w:rPr>
                <w:sz w:val="20"/>
              </w:rPr>
              <w:t>ÇKBH2</w:t>
            </w:r>
            <w:r w:rsidR="00E87ED2">
              <w:rPr>
                <w:sz w:val="20"/>
              </w:rPr>
              <w:t>35</w:t>
            </w:r>
          </w:p>
        </w:tc>
        <w:tc>
          <w:tcPr>
            <w:tcW w:w="2977" w:type="dxa"/>
          </w:tcPr>
          <w:p w14:paraId="1140BF8E" w14:textId="77777777" w:rsidR="007B0D04" w:rsidRDefault="007B0D04" w:rsidP="00423F35">
            <w:pPr>
              <w:pStyle w:val="TableParagraph"/>
              <w:spacing w:before="16"/>
              <w:jc w:val="center"/>
              <w:rPr>
                <w:rFonts w:ascii="Times New Roman"/>
                <w:sz w:val="20"/>
              </w:rPr>
            </w:pPr>
          </w:p>
          <w:p w14:paraId="2092FB6F" w14:textId="2C2C8625" w:rsidR="00867237" w:rsidRPr="00A07762" w:rsidRDefault="00E87ED2" w:rsidP="00423F35">
            <w:pPr>
              <w:pStyle w:val="TableParagraph"/>
              <w:spacing w:before="16"/>
              <w:jc w:val="center"/>
              <w:rPr>
                <w:rFonts w:ascii="Times New Roman"/>
                <w:sz w:val="20"/>
              </w:rPr>
            </w:pPr>
            <w:r>
              <w:rPr>
                <w:rFonts w:ascii="Times New Roman"/>
                <w:sz w:val="20"/>
              </w:rPr>
              <w:t>Ç</w:t>
            </w:r>
            <w:r>
              <w:rPr>
                <w:rFonts w:ascii="Times New Roman"/>
                <w:sz w:val="20"/>
              </w:rPr>
              <w:t xml:space="preserve">ocuk </w:t>
            </w:r>
            <w:r>
              <w:rPr>
                <w:rFonts w:ascii="Times New Roman"/>
                <w:sz w:val="20"/>
              </w:rPr>
              <w:t>İ</w:t>
            </w:r>
            <w:r>
              <w:rPr>
                <w:rFonts w:ascii="Times New Roman"/>
                <w:sz w:val="20"/>
              </w:rPr>
              <w:t xml:space="preserve">hmal ve </w:t>
            </w:r>
            <w:r>
              <w:rPr>
                <w:rFonts w:ascii="Times New Roman"/>
                <w:sz w:val="20"/>
              </w:rPr>
              <w:t>İ</w:t>
            </w:r>
            <w:r>
              <w:rPr>
                <w:rFonts w:ascii="Times New Roman"/>
                <w:sz w:val="20"/>
              </w:rPr>
              <w:t>stismar</w:t>
            </w:r>
            <w:r>
              <w:rPr>
                <w:rFonts w:ascii="Times New Roman"/>
                <w:sz w:val="20"/>
              </w:rPr>
              <w:t>ı</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0B4E3A9" w:rsidR="00867237" w:rsidRPr="007B0D04" w:rsidRDefault="00867237" w:rsidP="007B0D04">
            <w:pPr>
              <w:pStyle w:val="TableParagraph"/>
              <w:jc w:val="center"/>
              <w:rPr>
                <w:spacing w:val="-2"/>
                <w:sz w:val="20"/>
              </w:rPr>
            </w:pPr>
            <w:r w:rsidRPr="00A07762">
              <w:rPr>
                <w:spacing w:val="-2"/>
                <w:sz w:val="20"/>
              </w:rPr>
              <w:t>Zorunl</w:t>
            </w:r>
            <w:r w:rsidR="007B0D04">
              <w:rPr>
                <w:spacing w:val="-2"/>
                <w:sz w:val="20"/>
              </w:rPr>
              <w:t>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01554B" w:rsidR="00867237" w:rsidRPr="00A07762" w:rsidRDefault="007B0D04"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A320C9D" w:rsidR="00867237" w:rsidRPr="00A07762" w:rsidRDefault="007B0D04" w:rsidP="00423F35">
            <w:pPr>
              <w:pStyle w:val="TableParagraph"/>
              <w:ind w:left="14"/>
              <w:jc w:val="center"/>
              <w:rPr>
                <w:sz w:val="20"/>
              </w:rPr>
            </w:pPr>
            <w:r>
              <w:rPr>
                <w:sz w:val="20"/>
              </w:rPr>
              <w:t>-</w:t>
            </w:r>
          </w:p>
        </w:tc>
        <w:tc>
          <w:tcPr>
            <w:tcW w:w="1710" w:type="dxa"/>
            <w:vAlign w:val="center"/>
          </w:tcPr>
          <w:p w14:paraId="6E69D48B" w14:textId="632E157F" w:rsidR="00867237" w:rsidRPr="00A07762" w:rsidRDefault="00E87ED2" w:rsidP="00423F35">
            <w:pPr>
              <w:pStyle w:val="TableParagraph"/>
              <w:jc w:val="center"/>
              <w:rPr>
                <w:sz w:val="20"/>
              </w:rPr>
            </w:pPr>
            <w:r>
              <w:rPr>
                <w:sz w:val="20"/>
              </w:rPr>
              <w:t>09</w:t>
            </w:r>
            <w:r w:rsidR="007B0D04">
              <w:rPr>
                <w:sz w:val="20"/>
              </w:rPr>
              <w:t>.09.2025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0CDCF7B" w:rsidR="000441DB" w:rsidRPr="00EA0355" w:rsidRDefault="00867237" w:rsidP="009B50FD">
            <w:pPr>
              <w:pStyle w:val="TableParagraph"/>
              <w:jc w:val="both"/>
              <w:rPr>
                <w:sz w:val="20"/>
              </w:rPr>
            </w:pPr>
            <w:r>
              <w:rPr>
                <w:sz w:val="20"/>
              </w:rPr>
              <w:t xml:space="preserve"> </w:t>
            </w:r>
            <w:r w:rsidR="007B0D04">
              <w:rPr>
                <w:sz w:val="20"/>
              </w:rPr>
              <w:t xml:space="preserve">Öğr. Gör. Elif ÖZAYDIN DEMİRBAŞ </w:t>
            </w:r>
            <w:hyperlink r:id="rId5" w:history="1">
              <w:r w:rsidR="007B0D04" w:rsidRPr="0027372B">
                <w:rPr>
                  <w:rStyle w:val="Kpr"/>
                  <w:sz w:val="20"/>
                </w:rPr>
                <w:t>elifozaydindemirbas@aybu.edu.tr</w:t>
              </w:r>
            </w:hyperlink>
            <w:r w:rsidR="007B0D04">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1875A4C" w:rsidR="00867237" w:rsidRPr="00A07762" w:rsidRDefault="00867237" w:rsidP="00867237">
            <w:pPr>
              <w:pStyle w:val="TableParagraph"/>
              <w:jc w:val="both"/>
              <w:rPr>
                <w:b/>
                <w:bCs/>
                <w:sz w:val="20"/>
              </w:rPr>
            </w:pPr>
            <w:r w:rsidRPr="00A07762">
              <w:rPr>
                <w:b/>
                <w:bCs/>
                <w:sz w:val="20"/>
              </w:rPr>
              <w:t xml:space="preserve">  </w:t>
            </w:r>
            <w:r w:rsidR="007B0D04">
              <w:rPr>
                <w:sz w:val="20"/>
              </w:rPr>
              <w:t xml:space="preserve">Çarşamba 13.00-15.00 Çubuk Yerleşkesi 111 </w:t>
            </w:r>
            <w:proofErr w:type="spellStart"/>
            <w:r w:rsidR="007B0D04">
              <w:rPr>
                <w:sz w:val="20"/>
              </w:rPr>
              <w:t>Nolu</w:t>
            </w:r>
            <w:proofErr w:type="spellEnd"/>
            <w:r w:rsidR="007B0D04">
              <w:rPr>
                <w:sz w:val="20"/>
              </w:rPr>
              <w:t xml:space="preserve"> Oda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34830DE" w14:textId="77777777" w:rsidR="00630C60" w:rsidRPr="003D319D" w:rsidRDefault="00E87ED2" w:rsidP="00E87ED2">
            <w:pPr>
              <w:tabs>
                <w:tab w:val="left" w:pos="861"/>
              </w:tabs>
              <w:spacing w:before="20" w:line="276" w:lineRule="auto"/>
              <w:rPr>
                <w:rFonts w:ascii="Carlito" w:hAnsi="Carlito"/>
              </w:rPr>
            </w:pPr>
            <w:r w:rsidRPr="003D319D">
              <w:rPr>
                <w:rFonts w:ascii="Carlito" w:hAnsi="Carlito"/>
              </w:rPr>
              <w:t xml:space="preserve">Çocuklara yönelik ihmal ve istismarın tanımı, Çocuklara yönelik ihmal ve istismar türleri, Çocuk ihmal ve istismarı için risk faktörleri, Bu konudaki mevzuat ve politikalar, Çocuk ihmal ve istismarı ve </w:t>
            </w:r>
            <w:proofErr w:type="spellStart"/>
            <w:r w:rsidRPr="003D319D">
              <w:rPr>
                <w:rFonts w:ascii="Carlito" w:hAnsi="Carlito"/>
              </w:rPr>
              <w:t>ÇİM’ler</w:t>
            </w:r>
            <w:proofErr w:type="spellEnd"/>
            <w:r w:rsidRPr="003D319D">
              <w:rPr>
                <w:rFonts w:ascii="Carlito" w:hAnsi="Carlito"/>
              </w:rPr>
              <w:t>, Çocuk ihmal ve istismarına yönelik koruyucu faktörler, İhmal ve istismarı önleyici çalışmalar, İhmal ve istismara müdahale edici çalışmalar</w:t>
            </w:r>
          </w:p>
          <w:p w14:paraId="413F8BE2" w14:textId="51ADEE38" w:rsidR="00E87ED2" w:rsidRPr="003D319D" w:rsidRDefault="00E87ED2" w:rsidP="00E87ED2">
            <w:pPr>
              <w:spacing w:line="276" w:lineRule="auto"/>
              <w:contextualSpacing/>
              <w:rPr>
                <w:rFonts w:ascii="Carlito" w:hAnsi="Carlito" w:cs="Times New Roman"/>
              </w:rPr>
            </w:pPr>
            <w:r w:rsidRPr="003D319D">
              <w:rPr>
                <w:rFonts w:ascii="Carlito" w:hAnsi="Carlito" w:cs="Times New Roman"/>
              </w:rPr>
              <w:t>Bu ders, öğrencilere çocuk ihmali ve istismarının türlerini, nedenlerini, sonuçlarını ve önleme yollarını kavratmayı; çocukları koruma ve destekleme konusunda bilinç kazandırmayı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02F009C2" w:rsidR="00871F5E" w:rsidRPr="00423F35" w:rsidRDefault="007B0D04" w:rsidP="009B50FD">
            <w:pPr>
              <w:pStyle w:val="TableParagraph"/>
              <w:spacing w:before="140"/>
              <w:jc w:val="both"/>
              <w:rPr>
                <w:iCs/>
                <w:sz w:val="20"/>
              </w:rPr>
            </w:pPr>
            <w:r>
              <w:rPr>
                <w:iCs/>
                <w:sz w:val="20"/>
              </w:rPr>
              <w:t xml:space="preserve">Akademisyen notları, </w:t>
            </w:r>
            <w:hyperlink r:id="rId6" w:history="1">
              <w:r w:rsidR="003D319D" w:rsidRPr="0027372B">
                <w:rPr>
                  <w:rStyle w:val="Kpr"/>
                  <w:iCs/>
                  <w:sz w:val="20"/>
                </w:rPr>
                <w:t>https://www.aile.gov.tr/media/2499/cocuk-bakim-kuruluslarinda-calisan-personele-yonelik-istismarla-mucadele-rehber-kitapcigi.pdf</w:t>
              </w:r>
            </w:hyperlink>
            <w:r w:rsidR="003D319D">
              <w:rPr>
                <w:iCs/>
                <w:sz w:val="20"/>
              </w:rPr>
              <w:t xml:space="preserve">, </w:t>
            </w:r>
            <w:r w:rsidR="003D319D" w:rsidRPr="003D319D">
              <w:rPr>
                <w:iCs/>
                <w:sz w:val="20"/>
              </w:rPr>
              <w:t>Özpolat, 2023, ÇOCUK İHMAL VE İSTİSMARININ POLİTİKALARLA İLİŞKİSİ</w:t>
            </w:r>
            <w:r w:rsidR="003D319D">
              <w:rPr>
                <w:iCs/>
                <w:sz w:val="20"/>
              </w:rPr>
              <w:t xml:space="preserve">, </w:t>
            </w:r>
            <w:hyperlink r:id="rId7" w:history="1">
              <w:r w:rsidR="003D319D" w:rsidRPr="0027372B">
                <w:rPr>
                  <w:rStyle w:val="Kpr"/>
                  <w:iCs/>
                  <w:sz w:val="20"/>
                </w:rPr>
                <w:t>https://www.who.int/news-room/fact-sheets/detail/child-maltreatment</w:t>
              </w:r>
            </w:hyperlink>
            <w:r w:rsidR="003D319D">
              <w:rPr>
                <w:iCs/>
                <w:sz w:val="20"/>
              </w:rPr>
              <w:t xml:space="preserve"> , </w:t>
            </w:r>
            <w:hyperlink r:id="rId8" w:history="1">
              <w:r w:rsidR="003D319D" w:rsidRPr="0027372B">
                <w:rPr>
                  <w:rStyle w:val="Kpr"/>
                  <w:iCs/>
                  <w:sz w:val="20"/>
                </w:rPr>
                <w:t>https://www.aile.gov.tr/sss/cocuk-hizmetleri-genel-mudurlugu/koruyucu-ve-onleyici-hizmetler/</w:t>
              </w:r>
            </w:hyperlink>
            <w:r w:rsidR="003D319D">
              <w:rPr>
                <w:iCs/>
                <w:sz w:val="20"/>
              </w:rPr>
              <w:t xml:space="preserve"> ,</w:t>
            </w:r>
            <w:r w:rsidR="003D319D" w:rsidRPr="003D319D">
              <w:rPr>
                <w:iCs/>
                <w:sz w:val="20"/>
              </w:rPr>
              <w:t xml:space="preserve"> Türkiye’de 1995-2020 Yılları Arasında Çocuk İstismarını Önleme Programlarına İlişkin Gerçekleştirilen Çalışmaların İncelenmesi ve Değerlendirilmesi</w:t>
            </w:r>
            <w:r w:rsidR="003D319D">
              <w:rPr>
                <w:iCs/>
                <w:sz w:val="20"/>
              </w:rPr>
              <w:t xml:space="preserve">. </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D47A2C2" w:rsidR="00630C60" w:rsidRPr="00EA0355" w:rsidRDefault="007B0D04" w:rsidP="009B50FD">
            <w:pPr>
              <w:pStyle w:val="TableParagraph"/>
              <w:spacing w:before="159"/>
              <w:ind w:left="110"/>
              <w:jc w:val="both"/>
              <w:rPr>
                <w:sz w:val="20"/>
              </w:rPr>
            </w:pPr>
            <w:r w:rsidRPr="003D319D">
              <w:t>Sunuş ve buluş yoluyla öğretim teknikleri, bireysel ve grup etkinlikleri, soru cevap yöntemi, örnek olay inceleme ve tartışma yöntemi</w:t>
            </w:r>
            <w:r>
              <w:rPr>
                <w:rFonts w:ascii="Times New Roman" w:hAnsi="Times New Roman"/>
              </w:rPr>
              <w: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3D2F7FA" w:rsidR="003D5B92" w:rsidRPr="003D319D" w:rsidRDefault="00E87ED2" w:rsidP="00E87ED2">
                  <w:pPr>
                    <w:rPr>
                      <w:rFonts w:ascii="Carlito" w:hAnsi="Carlito"/>
                    </w:rPr>
                  </w:pPr>
                  <w:r w:rsidRPr="003D319D">
                    <w:rPr>
                      <w:rFonts w:ascii="Carlito" w:hAnsi="Carlito"/>
                    </w:rPr>
                    <w:t>Çocuk koruma ve bakım sorumluluğunun içeriğini kavrar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1A6CE8DE" w:rsidR="003D5B92" w:rsidRPr="003D319D" w:rsidRDefault="00E87ED2" w:rsidP="00E87ED2">
                  <w:pPr>
                    <w:rPr>
                      <w:rFonts w:ascii="Carlito" w:hAnsi="Carlito"/>
                    </w:rPr>
                  </w:pPr>
                  <w:r w:rsidRPr="003D319D">
                    <w:rPr>
                      <w:rFonts w:ascii="Carlito" w:hAnsi="Carlito"/>
                    </w:rPr>
                    <w:t>Çocuklara yönelik ihmal ve istismar türlerini kavrar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07EAC366" w:rsidR="003D5B92" w:rsidRPr="003D319D" w:rsidRDefault="00E87ED2" w:rsidP="007B0D04">
                  <w:pPr>
                    <w:rPr>
                      <w:rFonts w:ascii="Carlito" w:hAnsi="Carlito"/>
                    </w:rPr>
                  </w:pPr>
                  <w:r w:rsidRPr="003D319D">
                    <w:rPr>
                      <w:rFonts w:ascii="Carlito" w:hAnsi="Carlito"/>
                    </w:rPr>
                    <w:t>Çocuk ihmal ve istismarı için risk ve koruyucu faktörleri tanır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7706912A" w:rsidR="006F7080" w:rsidRDefault="00E460E3" w:rsidP="006F7080">
                  <w:pPr>
                    <w:jc w:val="both"/>
                  </w:pPr>
                  <w:r>
                    <w:t>P1</w:t>
                  </w:r>
                </w:p>
              </w:tc>
              <w:tc>
                <w:tcPr>
                  <w:tcW w:w="8023" w:type="dxa"/>
                </w:tcPr>
                <w:p w14:paraId="7A9B7C94" w14:textId="4767C6EA" w:rsidR="006F7080" w:rsidRDefault="00E460E3" w:rsidP="006F7080">
                  <w:pPr>
                    <w:jc w:val="both"/>
                  </w:pPr>
                  <w:r w:rsidRPr="00E460E3">
                    <w:t>Çocuk Koruma ve Bakım Hizmetleri alanında edindiği temel düzeyde kuramsal ve uygulamalı bilimsel bilgiye sahip olma</w:t>
                  </w:r>
                </w:p>
              </w:tc>
            </w:tr>
            <w:tr w:rsidR="006F7080" w14:paraId="084F6DA6" w14:textId="77777777" w:rsidTr="00EC1DD9">
              <w:trPr>
                <w:trHeight w:val="276"/>
              </w:trPr>
              <w:tc>
                <w:tcPr>
                  <w:tcW w:w="1054" w:type="dxa"/>
                </w:tcPr>
                <w:p w14:paraId="424A90A3" w14:textId="4A57F9F6" w:rsidR="006F7080" w:rsidRDefault="00E460E3" w:rsidP="006F7080">
                  <w:pPr>
                    <w:jc w:val="both"/>
                  </w:pPr>
                  <w:r>
                    <w:t>P2</w:t>
                  </w:r>
                </w:p>
              </w:tc>
              <w:tc>
                <w:tcPr>
                  <w:tcW w:w="8023" w:type="dxa"/>
                </w:tcPr>
                <w:p w14:paraId="419B927C" w14:textId="11C3B894" w:rsidR="006F7080" w:rsidRDefault="00E460E3" w:rsidP="006F7080">
                  <w:pPr>
                    <w:jc w:val="both"/>
                  </w:pPr>
                  <w:r w:rsidRPr="00E460E3">
                    <w:t>Alanıyla ilgili temel düzeydeki bir projede çalışabilme, bireysel veya ekip içinde sorumluluk alabilme ve karşılaştığı sorunları çözebilme.</w:t>
                  </w:r>
                </w:p>
              </w:tc>
            </w:tr>
            <w:tr w:rsidR="00E87ED2" w14:paraId="671813CD" w14:textId="77777777" w:rsidTr="00EC1DD9">
              <w:trPr>
                <w:trHeight w:val="276"/>
              </w:trPr>
              <w:tc>
                <w:tcPr>
                  <w:tcW w:w="1054" w:type="dxa"/>
                </w:tcPr>
                <w:p w14:paraId="7717065C" w14:textId="5BC52756" w:rsidR="00E87ED2" w:rsidRDefault="00E87ED2" w:rsidP="006F7080">
                  <w:pPr>
                    <w:jc w:val="both"/>
                  </w:pPr>
                  <w:r>
                    <w:t>P3</w:t>
                  </w:r>
                </w:p>
              </w:tc>
              <w:tc>
                <w:tcPr>
                  <w:tcW w:w="8023" w:type="dxa"/>
                </w:tcPr>
                <w:p w14:paraId="495BF022" w14:textId="2D2FE824" w:rsidR="00E87ED2" w:rsidRPr="00E460E3" w:rsidRDefault="00E87ED2" w:rsidP="006F7080">
                  <w:pPr>
                    <w:jc w:val="both"/>
                  </w:pPr>
                  <w:r w:rsidRPr="00E87ED2">
                    <w:t>Toplumsal, bilimsel, kültürel ve mesleki etik değerlerin bilincinde olabilme.</w:t>
                  </w:r>
                </w:p>
              </w:tc>
            </w:tr>
            <w:tr w:rsidR="006F7080" w14:paraId="6E8DF19E" w14:textId="77777777" w:rsidTr="00EC1DD9">
              <w:trPr>
                <w:trHeight w:val="288"/>
              </w:trPr>
              <w:tc>
                <w:tcPr>
                  <w:tcW w:w="1054" w:type="dxa"/>
                </w:tcPr>
                <w:p w14:paraId="6A2E4189" w14:textId="1761C299" w:rsidR="006F7080" w:rsidRDefault="00E460E3" w:rsidP="006F7080">
                  <w:pPr>
                    <w:jc w:val="both"/>
                  </w:pPr>
                  <w:r>
                    <w:t>P4</w:t>
                  </w:r>
                </w:p>
              </w:tc>
              <w:tc>
                <w:tcPr>
                  <w:tcW w:w="8023" w:type="dxa"/>
                </w:tcPr>
                <w:p w14:paraId="0B950282" w14:textId="653F6C53" w:rsidR="006F7080" w:rsidRDefault="00E460E3" w:rsidP="006F7080">
                  <w:pPr>
                    <w:jc w:val="both"/>
                  </w:pPr>
                  <w:r w:rsidRPr="00E460E3">
                    <w:t>Alanı ile ilgili bilgi, beceri ve yetkinlikleri yaşam boyu öğrenme bilinciyle güncelleyip kendini kişisel ve mesleki olarak geliştirebilme.</w:t>
                  </w:r>
                </w:p>
              </w:tc>
            </w:tr>
            <w:tr w:rsidR="00E87ED2" w14:paraId="38C3E954" w14:textId="77777777" w:rsidTr="00EC1DD9">
              <w:trPr>
                <w:trHeight w:val="288"/>
              </w:trPr>
              <w:tc>
                <w:tcPr>
                  <w:tcW w:w="1054" w:type="dxa"/>
                </w:tcPr>
                <w:p w14:paraId="71B5B511" w14:textId="42905B1B" w:rsidR="00E87ED2" w:rsidRDefault="00E87ED2" w:rsidP="006F7080">
                  <w:pPr>
                    <w:jc w:val="both"/>
                  </w:pPr>
                  <w:r>
                    <w:t>P7</w:t>
                  </w:r>
                </w:p>
              </w:tc>
              <w:tc>
                <w:tcPr>
                  <w:tcW w:w="8023" w:type="dxa"/>
                </w:tcPr>
                <w:p w14:paraId="62F05398" w14:textId="79ECDA84" w:rsidR="00E87ED2" w:rsidRPr="00E460E3" w:rsidRDefault="00E87ED2" w:rsidP="006F7080">
                  <w:pPr>
                    <w:jc w:val="both"/>
                  </w:pPr>
                  <w:r w:rsidRPr="00E87ED2">
                    <w:t>Alanıyla ilgili temel düzeydeki bilgi ve becerileri kullanabilme, verileri yorumlayıp değerlendirebilme ve olası sorunları tanımlayıp çözümleyebilm</w:t>
                  </w:r>
                  <w:r>
                    <w:t>e</w:t>
                  </w:r>
                </w:p>
              </w:tc>
            </w:tr>
            <w:tr w:rsidR="00E87ED2" w14:paraId="11218FD9" w14:textId="77777777" w:rsidTr="00EC1DD9">
              <w:trPr>
                <w:trHeight w:val="288"/>
              </w:trPr>
              <w:tc>
                <w:tcPr>
                  <w:tcW w:w="1054" w:type="dxa"/>
                </w:tcPr>
                <w:p w14:paraId="60EE8366" w14:textId="4E888CE9" w:rsidR="00E87ED2" w:rsidRDefault="00E87ED2" w:rsidP="006F7080">
                  <w:pPr>
                    <w:jc w:val="both"/>
                  </w:pPr>
                  <w:r>
                    <w:t>P8</w:t>
                  </w:r>
                </w:p>
              </w:tc>
              <w:tc>
                <w:tcPr>
                  <w:tcW w:w="8023" w:type="dxa"/>
                </w:tcPr>
                <w:p w14:paraId="3933BE8A" w14:textId="5B6FBE0F" w:rsidR="00E87ED2" w:rsidRPr="00E87ED2" w:rsidRDefault="00E87ED2" w:rsidP="006F7080">
                  <w:pPr>
                    <w:jc w:val="both"/>
                  </w:pPr>
                  <w:r w:rsidRPr="00E87ED2">
                    <w:t>Alanıyla ilgili temel mesleki yasal mevzuatı anlayabilme.</w:t>
                  </w:r>
                </w:p>
              </w:tc>
            </w:tr>
            <w:tr w:rsidR="00E87ED2" w14:paraId="27E9C930" w14:textId="77777777" w:rsidTr="00EC1DD9">
              <w:trPr>
                <w:trHeight w:val="288"/>
              </w:trPr>
              <w:tc>
                <w:tcPr>
                  <w:tcW w:w="1054" w:type="dxa"/>
                </w:tcPr>
                <w:p w14:paraId="656E5E88" w14:textId="7AFEE8F7" w:rsidR="00E87ED2" w:rsidRDefault="00E87ED2" w:rsidP="006F7080">
                  <w:pPr>
                    <w:jc w:val="both"/>
                  </w:pPr>
                  <w:r>
                    <w:t>P9</w:t>
                  </w:r>
                </w:p>
              </w:tc>
              <w:tc>
                <w:tcPr>
                  <w:tcW w:w="8023" w:type="dxa"/>
                </w:tcPr>
                <w:p w14:paraId="562D6E35" w14:textId="697E00FC" w:rsidR="00E87ED2" w:rsidRPr="00E87ED2" w:rsidRDefault="00E87ED2" w:rsidP="006F7080">
                  <w:pPr>
                    <w:jc w:val="both"/>
                  </w:pPr>
                  <w:r w:rsidRPr="00E87ED2">
                    <w:t>Sosyal, kültürel ve hukuksal hak ve sorumluluklara uygun hareket edebilme.</w:t>
                  </w:r>
                </w:p>
              </w:tc>
            </w:tr>
            <w:tr w:rsidR="006F7080" w14:paraId="21978F1E" w14:textId="77777777" w:rsidTr="00EC1DD9">
              <w:trPr>
                <w:trHeight w:val="276"/>
              </w:trPr>
              <w:tc>
                <w:tcPr>
                  <w:tcW w:w="1054" w:type="dxa"/>
                </w:tcPr>
                <w:p w14:paraId="567B23AC" w14:textId="5C6A13FB" w:rsidR="006F7080" w:rsidRDefault="00E460E3" w:rsidP="006F7080">
                  <w:pPr>
                    <w:jc w:val="both"/>
                  </w:pPr>
                  <w:r>
                    <w:t>P10</w:t>
                  </w:r>
                </w:p>
              </w:tc>
              <w:tc>
                <w:tcPr>
                  <w:tcW w:w="8023" w:type="dxa"/>
                </w:tcPr>
                <w:p w14:paraId="4D145F44" w14:textId="402333BA" w:rsidR="006F7080" w:rsidRDefault="00E460E3" w:rsidP="006F7080">
                  <w:pPr>
                    <w:jc w:val="both"/>
                  </w:pPr>
                  <w:r w:rsidRPr="00E460E3">
                    <w:t>Alanıyla ilgili toplumun ve dünyanın gündemindeki olaylara duyarlı olup gelişmeleri izleyebilme.</w:t>
                  </w:r>
                </w:p>
              </w:tc>
            </w:tr>
            <w:tr w:rsidR="00E87ED2" w14:paraId="4FCCB806" w14:textId="77777777" w:rsidTr="00EC1DD9">
              <w:trPr>
                <w:trHeight w:val="276"/>
              </w:trPr>
              <w:tc>
                <w:tcPr>
                  <w:tcW w:w="1054" w:type="dxa"/>
                </w:tcPr>
                <w:p w14:paraId="087C3147" w14:textId="0C032B40" w:rsidR="00E87ED2" w:rsidRDefault="00E87ED2" w:rsidP="006F7080">
                  <w:pPr>
                    <w:jc w:val="both"/>
                  </w:pPr>
                  <w:r>
                    <w:t>P12</w:t>
                  </w:r>
                </w:p>
              </w:tc>
              <w:tc>
                <w:tcPr>
                  <w:tcW w:w="8023" w:type="dxa"/>
                </w:tcPr>
                <w:p w14:paraId="1F7B1476" w14:textId="4361D48E" w:rsidR="00E87ED2" w:rsidRPr="00E460E3" w:rsidRDefault="00E87ED2" w:rsidP="006F7080">
                  <w:pPr>
                    <w:jc w:val="both"/>
                  </w:pPr>
                  <w:r w:rsidRPr="00E87ED2">
                    <w:t>Birey ve halk sağlığı, çevre koruma ve iş güvenliği konularının bilincinde olabilme.</w:t>
                  </w:r>
                </w:p>
              </w:tc>
            </w:tr>
            <w:tr w:rsidR="006F7080" w14:paraId="578B2B92" w14:textId="77777777" w:rsidTr="00EC1DD9">
              <w:trPr>
                <w:trHeight w:val="288"/>
              </w:trPr>
              <w:tc>
                <w:tcPr>
                  <w:tcW w:w="1054" w:type="dxa"/>
                </w:tcPr>
                <w:p w14:paraId="4E5A3C74" w14:textId="49DED9A3" w:rsidR="006F7080" w:rsidRDefault="00E460E3" w:rsidP="006F7080">
                  <w:pPr>
                    <w:jc w:val="both"/>
                  </w:pPr>
                  <w:r>
                    <w:t>P13</w:t>
                  </w:r>
                </w:p>
              </w:tc>
              <w:tc>
                <w:tcPr>
                  <w:tcW w:w="8023" w:type="dxa"/>
                </w:tcPr>
                <w:p w14:paraId="76CDFDB6" w14:textId="40996585" w:rsidR="006F7080" w:rsidRDefault="00E460E3" w:rsidP="006F7080">
                  <w:pPr>
                    <w:jc w:val="both"/>
                  </w:pPr>
                  <w:r w:rsidRPr="00E460E3">
                    <w:t>Diğer disiplinler ile çalışabilme.</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67F28E67" w:rsidR="00630C60" w:rsidRPr="00A07762" w:rsidRDefault="00E460E3" w:rsidP="009B50FD">
            <w:pPr>
              <w:pStyle w:val="TableParagraph"/>
              <w:jc w:val="both"/>
              <w:rPr>
                <w:sz w:val="20"/>
              </w:rPr>
            </w:pPr>
            <w:r>
              <w:rPr>
                <w:sz w:val="20"/>
              </w:rPr>
              <w:t xml:space="preserve"> Öğrenciler </w:t>
            </w:r>
            <w:r w:rsidR="00E87ED2">
              <w:rPr>
                <w:sz w:val="20"/>
              </w:rPr>
              <w:t>çocuk ihmali ve istismarı kavramlarını ve türlerini bilir. Korunmaya gereksinimli çocukları çocuk ihmal ve istismarı çerçevesinde tanımlayabilir. Çocukların ihmal ve istismardan korunmasına yönelik mevzuatı bilir, önleme ve müdahale programlarının uygulamalarının açıklar.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853B233" w:rsidR="00AE2FFC" w:rsidRPr="004E39F5" w:rsidRDefault="00E460E3" w:rsidP="00E460E3">
                  <w:pPr>
                    <w:pStyle w:val="Balk1"/>
                    <w:tabs>
                      <w:tab w:val="left" w:pos="355"/>
                    </w:tabs>
                    <w:spacing w:before="0" w:line="276" w:lineRule="auto"/>
                    <w:ind w:left="0" w:firstLine="0"/>
                    <w:rPr>
                      <w:b w:val="0"/>
                      <w:bCs w:val="0"/>
                    </w:rPr>
                  </w:pPr>
                  <w:r w:rsidRPr="004E39F5">
                    <w:rPr>
                      <w:b w:val="0"/>
                      <w:bCs w:val="0"/>
                    </w:rPr>
                    <w:t>Dersin</w:t>
                  </w:r>
                  <w:r w:rsidRPr="004E39F5">
                    <w:rPr>
                      <w:b w:val="0"/>
                      <w:bCs w:val="0"/>
                      <w:spacing w:val="-5"/>
                    </w:rPr>
                    <w:t xml:space="preserve"> </w:t>
                  </w:r>
                  <w:r w:rsidRPr="004E39F5">
                    <w:rPr>
                      <w:b w:val="0"/>
                      <w:bCs w:val="0"/>
                    </w:rPr>
                    <w:t>Tanıtımı</w:t>
                  </w:r>
                  <w:r w:rsidRPr="004E39F5">
                    <w:rPr>
                      <w:b w:val="0"/>
                      <w:bCs w:val="0"/>
                      <w:spacing w:val="-7"/>
                    </w:rPr>
                    <w:t xml:space="preserve"> </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E1195DE" w:rsidR="00AE2FFC" w:rsidRPr="003D319D" w:rsidRDefault="00E87ED2" w:rsidP="00E460E3">
                  <w:pPr>
                    <w:tabs>
                      <w:tab w:val="left" w:pos="861"/>
                    </w:tabs>
                    <w:spacing w:before="19" w:line="276" w:lineRule="auto"/>
                  </w:pPr>
                  <w:r w:rsidRPr="003D319D">
                    <w:rPr>
                      <w:rFonts w:ascii="Times New Roman" w:hAnsi="Times New Roman" w:cs="Times New Roman"/>
                      <w:sz w:val="21"/>
                      <w:szCs w:val="21"/>
                    </w:rPr>
                    <w:t>İhmal kavram</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8807D41" w:rsidR="00AE2FFC" w:rsidRPr="003D319D" w:rsidRDefault="00E87ED2" w:rsidP="00E460E3">
                  <w:pPr>
                    <w:pStyle w:val="Balk1"/>
                    <w:tabs>
                      <w:tab w:val="left" w:pos="355"/>
                    </w:tabs>
                    <w:spacing w:before="24" w:line="276" w:lineRule="auto"/>
                    <w:ind w:left="0" w:firstLine="0"/>
                    <w:rPr>
                      <w:b w:val="0"/>
                      <w:bCs w:val="0"/>
                    </w:rPr>
                  </w:pPr>
                  <w:r w:rsidRPr="003D319D">
                    <w:rPr>
                      <w:rFonts w:ascii="Times New Roman" w:hAnsi="Times New Roman" w:cs="Times New Roman"/>
                      <w:b w:val="0"/>
                      <w:bCs w:val="0"/>
                      <w:sz w:val="21"/>
                      <w:szCs w:val="21"/>
                    </w:rPr>
                    <w:t>İstismar kavramı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170E1A2D" w:rsidR="00AE2FFC" w:rsidRPr="003D319D" w:rsidRDefault="00E87ED2" w:rsidP="003D319D">
                  <w:pPr>
                    <w:pStyle w:val="Balk1"/>
                    <w:tabs>
                      <w:tab w:val="left" w:pos="355"/>
                    </w:tabs>
                    <w:spacing w:line="276" w:lineRule="auto"/>
                    <w:ind w:left="0" w:firstLine="0"/>
                    <w:rPr>
                      <w:b w:val="0"/>
                      <w:bCs w:val="0"/>
                    </w:rPr>
                  </w:pPr>
                  <w:r w:rsidRPr="003D319D">
                    <w:rPr>
                      <w:rFonts w:ascii="Times New Roman" w:hAnsi="Times New Roman" w:cs="Times New Roman"/>
                      <w:b w:val="0"/>
                      <w:bCs w:val="0"/>
                      <w:sz w:val="21"/>
                      <w:szCs w:val="21"/>
                    </w:rPr>
                    <w:t>Fiziksel İstismar</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287B87E1" w:rsidR="00AE2FFC" w:rsidRPr="003D319D" w:rsidRDefault="00E87ED2" w:rsidP="00E460E3">
                  <w:pPr>
                    <w:pStyle w:val="Balk1"/>
                    <w:tabs>
                      <w:tab w:val="left" w:pos="355"/>
                    </w:tabs>
                    <w:spacing w:before="25" w:line="276" w:lineRule="auto"/>
                    <w:ind w:left="0" w:firstLine="0"/>
                    <w:rPr>
                      <w:b w:val="0"/>
                      <w:bCs w:val="0"/>
                    </w:rPr>
                  </w:pPr>
                  <w:r w:rsidRPr="003D319D">
                    <w:rPr>
                      <w:rFonts w:ascii="Times New Roman" w:hAnsi="Times New Roman" w:cs="Times New Roman"/>
                      <w:b w:val="0"/>
                      <w:bCs w:val="0"/>
                      <w:sz w:val="21"/>
                      <w:szCs w:val="21"/>
                    </w:rPr>
                    <w:t>Duygusal ve Cinsel İstismar</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0A6B8FF7" w:rsidR="00AE2FFC" w:rsidRPr="003D319D" w:rsidRDefault="00E87ED2" w:rsidP="003D319D">
                  <w:pPr>
                    <w:spacing w:line="276" w:lineRule="auto"/>
                    <w:contextualSpacing/>
                    <w:rPr>
                      <w:rFonts w:ascii="Times New Roman" w:hAnsi="Times New Roman" w:cs="Times New Roman"/>
                      <w:sz w:val="21"/>
                      <w:szCs w:val="21"/>
                    </w:rPr>
                  </w:pPr>
                  <w:r w:rsidRPr="003D319D">
                    <w:rPr>
                      <w:rFonts w:ascii="Times New Roman" w:hAnsi="Times New Roman" w:cs="Times New Roman"/>
                      <w:sz w:val="21"/>
                      <w:szCs w:val="21"/>
                    </w:rPr>
                    <w:t>Resmi tatil</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BC2679F" w:rsidR="00AE2FFC" w:rsidRPr="003D319D" w:rsidRDefault="00E87ED2" w:rsidP="00AE2FFC">
                  <w:pPr>
                    <w:jc w:val="both"/>
                  </w:pPr>
                  <w:r w:rsidRPr="003D319D">
                    <w:rPr>
                      <w:rFonts w:ascii="Times New Roman" w:hAnsi="Times New Roman" w:cs="Times New Roman"/>
                      <w:sz w:val="21"/>
                      <w:szCs w:val="21"/>
                    </w:rPr>
                    <w:t>Fiziksel İhmal</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00CD5C7" w:rsidR="00AE2FFC" w:rsidRPr="003D319D" w:rsidRDefault="00E87ED2" w:rsidP="003D319D">
                  <w:pPr>
                    <w:spacing w:line="276" w:lineRule="auto"/>
                    <w:contextualSpacing/>
                    <w:rPr>
                      <w:rFonts w:ascii="Times New Roman" w:hAnsi="Times New Roman" w:cs="Times New Roman"/>
                      <w:sz w:val="21"/>
                      <w:szCs w:val="21"/>
                    </w:rPr>
                  </w:pPr>
                  <w:r w:rsidRPr="003D319D">
                    <w:rPr>
                      <w:rFonts w:ascii="Times New Roman" w:hAnsi="Times New Roman" w:cs="Times New Roman"/>
                      <w:sz w:val="21"/>
                      <w:szCs w:val="21"/>
                    </w:rPr>
                    <w:t>Duygusal İhmal</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92A95A0" w:rsidR="00AE2FFC" w:rsidRPr="003D319D" w:rsidRDefault="00E87ED2" w:rsidP="00AE2FFC">
                  <w:pPr>
                    <w:jc w:val="both"/>
                  </w:pPr>
                  <w:r w:rsidRPr="003D319D">
                    <w:rPr>
                      <w:rFonts w:ascii="Times New Roman" w:hAnsi="Times New Roman" w:cs="Times New Roman"/>
                      <w:sz w:val="21"/>
                      <w:szCs w:val="21"/>
                    </w:rPr>
                    <w:t>İhmal ve istismarı önleme ile ilgili yasal düzenlemeler</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4503BF7" w:rsidR="00AE2FFC" w:rsidRPr="003D319D" w:rsidRDefault="00E87ED2" w:rsidP="004E39F5">
                  <w:pPr>
                    <w:pStyle w:val="Balk1"/>
                    <w:tabs>
                      <w:tab w:val="left" w:pos="465"/>
                    </w:tabs>
                    <w:spacing w:before="20" w:line="276" w:lineRule="auto"/>
                    <w:ind w:left="0" w:firstLine="0"/>
                    <w:rPr>
                      <w:b w:val="0"/>
                      <w:bCs w:val="0"/>
                    </w:rPr>
                  </w:pPr>
                  <w:r w:rsidRPr="003D319D">
                    <w:rPr>
                      <w:rFonts w:ascii="Times New Roman" w:hAnsi="Times New Roman" w:cs="Times New Roman"/>
                      <w:b w:val="0"/>
                      <w:bCs w:val="0"/>
                      <w:sz w:val="21"/>
                      <w:szCs w:val="21"/>
                    </w:rPr>
                    <w:t>İhmal ve istismar ile ilgili uluslararası önleme politikaları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16D0B611" w:rsidR="00AE2FFC" w:rsidRPr="003D319D" w:rsidRDefault="00E87ED2" w:rsidP="00AE2FFC">
                  <w:pPr>
                    <w:jc w:val="both"/>
                  </w:pPr>
                  <w:r w:rsidRPr="003D319D">
                    <w:rPr>
                      <w:rFonts w:ascii="Times New Roman" w:hAnsi="Times New Roman" w:cs="Times New Roman"/>
                      <w:sz w:val="21"/>
                      <w:szCs w:val="21"/>
                    </w:rPr>
                    <w:t>Çocuk ihmal ve istismarıyla ilgili risk faktörleri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D52788B" w:rsidR="00AE2FFC" w:rsidRPr="003D319D" w:rsidRDefault="00E87ED2" w:rsidP="00E87ED2">
                  <w:pPr>
                    <w:spacing w:line="276" w:lineRule="auto"/>
                    <w:contextualSpacing/>
                    <w:rPr>
                      <w:rFonts w:ascii="Times New Roman" w:hAnsi="Times New Roman" w:cs="Times New Roman"/>
                      <w:sz w:val="21"/>
                      <w:szCs w:val="21"/>
                    </w:rPr>
                  </w:pPr>
                  <w:r w:rsidRPr="003D319D">
                    <w:rPr>
                      <w:rFonts w:ascii="Times New Roman" w:hAnsi="Times New Roman" w:cs="Times New Roman"/>
                      <w:sz w:val="21"/>
                      <w:szCs w:val="21"/>
                    </w:rPr>
                    <w:t>Çocuk ihmal ve istismarını önleme programları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4FA9C7F" w:rsidR="00AE2FFC" w:rsidRPr="003D319D" w:rsidRDefault="00E87ED2" w:rsidP="00AE2FFC">
                  <w:pPr>
                    <w:jc w:val="both"/>
                  </w:pPr>
                  <w:r w:rsidRPr="003D319D">
                    <w:rPr>
                      <w:rFonts w:ascii="Times New Roman" w:hAnsi="Times New Roman" w:cs="Times New Roman"/>
                      <w:sz w:val="21"/>
                      <w:szCs w:val="21"/>
                    </w:rPr>
                    <w:t>Çocuk ihmal ve istismarını müdahale programları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6AE7B402" w:rsidR="00AE2FFC" w:rsidRPr="003D319D" w:rsidRDefault="00E87ED2" w:rsidP="00AE2FFC">
                  <w:pPr>
                    <w:jc w:val="both"/>
                  </w:pPr>
                  <w:r w:rsidRPr="003D319D">
                    <w:rPr>
                      <w:rFonts w:ascii="Times New Roman" w:hAnsi="Times New Roman" w:cs="Times New Roman"/>
                      <w:sz w:val="21"/>
                      <w:szCs w:val="21"/>
                    </w:rPr>
                    <w:t>Vaka inceleme ve değerlendirme</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06BA6EA0" w:rsidR="00AE2FFC" w:rsidRPr="003D319D" w:rsidRDefault="00E87ED2" w:rsidP="00AE2FFC">
                  <w:pPr>
                    <w:jc w:val="both"/>
                  </w:pPr>
                  <w:r w:rsidRPr="003D319D">
                    <w:rPr>
                      <w:rFonts w:ascii="Times New Roman" w:hAnsi="Times New Roman" w:cs="Times New Roman"/>
                      <w:sz w:val="21"/>
                      <w:szCs w:val="21"/>
                    </w:rPr>
                    <w:t>Vaka inceleme ve değerlendirme</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3DD99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E39F5">
                    <w:rPr>
                      <w:rFonts w:ascii="Calibri" w:eastAsia="Times New Roman" w:hAnsi="Calibri" w:cs="Calibri"/>
                      <w:color w:val="3B3A36"/>
                      <w:sz w:val="20"/>
                      <w:szCs w:val="20"/>
                      <w:lang w:eastAsia="tr-TR"/>
                    </w:rPr>
                    <w:t xml:space="preserve"> 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1EAAF35C" w:rsidR="007F634E" w:rsidRPr="00226CD7" w:rsidRDefault="007F634E" w:rsidP="007F634E">
                  <w:pPr>
                    <w:rPr>
                      <w:rFonts w:ascii="Calibri" w:hAnsi="Calibri" w:cs="Calibri"/>
                      <w:sz w:val="20"/>
                      <w:szCs w:val="20"/>
                    </w:rPr>
                  </w:pPr>
                  <w:r>
                    <w:rPr>
                      <w:rFonts w:ascii="Calibri" w:hAnsi="Calibri" w:cs="Calibri"/>
                      <w:sz w:val="20"/>
                      <w:szCs w:val="20"/>
                    </w:rPr>
                    <w:t>%</w:t>
                  </w:r>
                  <w:r w:rsidR="004E39F5">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437D9677"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9"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E83B28" w:rsidRPr="00E83B28">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3C8"/>
    <w:multiLevelType w:val="hybridMultilevel"/>
    <w:tmpl w:val="23A2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3622D1"/>
    <w:multiLevelType w:val="hybridMultilevel"/>
    <w:tmpl w:val="0B4CB83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57044"/>
    <w:multiLevelType w:val="hybridMultilevel"/>
    <w:tmpl w:val="09B0FB50"/>
    <w:lvl w:ilvl="0" w:tplc="E146DD36">
      <w:start w:val="1"/>
      <w:numFmt w:val="decimal"/>
      <w:lvlText w:val="%1."/>
      <w:lvlJc w:val="left"/>
      <w:pPr>
        <w:ind w:left="357" w:hanging="216"/>
      </w:pPr>
      <w:rPr>
        <w:rFonts w:ascii="Calibri" w:eastAsia="Calibri" w:hAnsi="Calibri" w:cs="Calibri" w:hint="default"/>
        <w:b/>
        <w:bCs/>
        <w:i w:val="0"/>
        <w:iCs w:val="0"/>
        <w:spacing w:val="-2"/>
        <w:w w:val="100"/>
        <w:sz w:val="22"/>
        <w:szCs w:val="22"/>
        <w:lang w:val="tr-TR" w:eastAsia="en-US" w:bidi="ar-SA"/>
      </w:rPr>
    </w:lvl>
    <w:lvl w:ilvl="1" w:tplc="1166FB5C">
      <w:numFmt w:val="bullet"/>
      <w:lvlText w:val=""/>
      <w:lvlJc w:val="left"/>
      <w:pPr>
        <w:ind w:left="862" w:hanging="361"/>
      </w:pPr>
      <w:rPr>
        <w:rFonts w:ascii="Symbol" w:eastAsia="Symbol" w:hAnsi="Symbol" w:cs="Symbol" w:hint="default"/>
        <w:b w:val="0"/>
        <w:bCs w:val="0"/>
        <w:i w:val="0"/>
        <w:iCs w:val="0"/>
        <w:spacing w:val="0"/>
        <w:w w:val="100"/>
        <w:sz w:val="20"/>
        <w:szCs w:val="20"/>
        <w:lang w:val="tr-TR" w:eastAsia="en-US" w:bidi="ar-SA"/>
      </w:rPr>
    </w:lvl>
    <w:lvl w:ilvl="2" w:tplc="A3A800BA">
      <w:numFmt w:val="bullet"/>
      <w:lvlText w:val="•"/>
      <w:lvlJc w:val="left"/>
      <w:pPr>
        <w:ind w:left="1756" w:hanging="361"/>
      </w:pPr>
      <w:rPr>
        <w:rFonts w:hint="default"/>
        <w:lang w:val="tr-TR" w:eastAsia="en-US" w:bidi="ar-SA"/>
      </w:rPr>
    </w:lvl>
    <w:lvl w:ilvl="3" w:tplc="4260D328">
      <w:numFmt w:val="bullet"/>
      <w:lvlText w:val="•"/>
      <w:lvlJc w:val="left"/>
      <w:pPr>
        <w:ind w:left="2653" w:hanging="361"/>
      </w:pPr>
      <w:rPr>
        <w:rFonts w:hint="default"/>
        <w:lang w:val="tr-TR" w:eastAsia="en-US" w:bidi="ar-SA"/>
      </w:rPr>
    </w:lvl>
    <w:lvl w:ilvl="4" w:tplc="5A20DBC4">
      <w:numFmt w:val="bullet"/>
      <w:lvlText w:val="•"/>
      <w:lvlJc w:val="left"/>
      <w:pPr>
        <w:ind w:left="3549" w:hanging="361"/>
      </w:pPr>
      <w:rPr>
        <w:rFonts w:hint="default"/>
        <w:lang w:val="tr-TR" w:eastAsia="en-US" w:bidi="ar-SA"/>
      </w:rPr>
    </w:lvl>
    <w:lvl w:ilvl="5" w:tplc="9724B3D2">
      <w:numFmt w:val="bullet"/>
      <w:lvlText w:val="•"/>
      <w:lvlJc w:val="left"/>
      <w:pPr>
        <w:ind w:left="4446" w:hanging="361"/>
      </w:pPr>
      <w:rPr>
        <w:rFonts w:hint="default"/>
        <w:lang w:val="tr-TR" w:eastAsia="en-US" w:bidi="ar-SA"/>
      </w:rPr>
    </w:lvl>
    <w:lvl w:ilvl="6" w:tplc="FE000C0C">
      <w:numFmt w:val="bullet"/>
      <w:lvlText w:val="•"/>
      <w:lvlJc w:val="left"/>
      <w:pPr>
        <w:ind w:left="5342" w:hanging="361"/>
      </w:pPr>
      <w:rPr>
        <w:rFonts w:hint="default"/>
        <w:lang w:val="tr-TR" w:eastAsia="en-US" w:bidi="ar-SA"/>
      </w:rPr>
    </w:lvl>
    <w:lvl w:ilvl="7" w:tplc="8C6ED070">
      <w:numFmt w:val="bullet"/>
      <w:lvlText w:val="•"/>
      <w:lvlJc w:val="left"/>
      <w:pPr>
        <w:ind w:left="6239" w:hanging="361"/>
      </w:pPr>
      <w:rPr>
        <w:rFonts w:hint="default"/>
        <w:lang w:val="tr-TR" w:eastAsia="en-US" w:bidi="ar-SA"/>
      </w:rPr>
    </w:lvl>
    <w:lvl w:ilvl="8" w:tplc="0A8C04A4">
      <w:numFmt w:val="bullet"/>
      <w:lvlText w:val="•"/>
      <w:lvlJc w:val="left"/>
      <w:pPr>
        <w:ind w:left="7135" w:hanging="361"/>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84E40"/>
    <w:rsid w:val="001B4555"/>
    <w:rsid w:val="00206D7B"/>
    <w:rsid w:val="00284643"/>
    <w:rsid w:val="00296B46"/>
    <w:rsid w:val="002C43F4"/>
    <w:rsid w:val="00307168"/>
    <w:rsid w:val="003404B8"/>
    <w:rsid w:val="003642A1"/>
    <w:rsid w:val="003D319D"/>
    <w:rsid w:val="003D5B92"/>
    <w:rsid w:val="00416BD3"/>
    <w:rsid w:val="00423F35"/>
    <w:rsid w:val="0043309A"/>
    <w:rsid w:val="00440654"/>
    <w:rsid w:val="00442FAA"/>
    <w:rsid w:val="0048206C"/>
    <w:rsid w:val="004C48BD"/>
    <w:rsid w:val="004E39F5"/>
    <w:rsid w:val="005060AA"/>
    <w:rsid w:val="00574951"/>
    <w:rsid w:val="0057558E"/>
    <w:rsid w:val="005833E5"/>
    <w:rsid w:val="00597347"/>
    <w:rsid w:val="00630C60"/>
    <w:rsid w:val="006339D8"/>
    <w:rsid w:val="00661E39"/>
    <w:rsid w:val="00677D29"/>
    <w:rsid w:val="006F7080"/>
    <w:rsid w:val="00732FAF"/>
    <w:rsid w:val="00736CCA"/>
    <w:rsid w:val="00793015"/>
    <w:rsid w:val="007B0D04"/>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2E57"/>
    <w:rsid w:val="00A27A75"/>
    <w:rsid w:val="00AB1791"/>
    <w:rsid w:val="00AE2FFC"/>
    <w:rsid w:val="00AF5B8B"/>
    <w:rsid w:val="00B75D3B"/>
    <w:rsid w:val="00BA0934"/>
    <w:rsid w:val="00BC180B"/>
    <w:rsid w:val="00C11CCD"/>
    <w:rsid w:val="00C57A35"/>
    <w:rsid w:val="00C63DB9"/>
    <w:rsid w:val="00CC3B7A"/>
    <w:rsid w:val="00CC7DF4"/>
    <w:rsid w:val="00CD4688"/>
    <w:rsid w:val="00D05418"/>
    <w:rsid w:val="00D26E72"/>
    <w:rsid w:val="00D32D8D"/>
    <w:rsid w:val="00DB0918"/>
    <w:rsid w:val="00DD6DCD"/>
    <w:rsid w:val="00DF0DA0"/>
    <w:rsid w:val="00E460E3"/>
    <w:rsid w:val="00E830CC"/>
    <w:rsid w:val="00E83B28"/>
    <w:rsid w:val="00E87ED2"/>
    <w:rsid w:val="00E94243"/>
    <w:rsid w:val="00EA0355"/>
    <w:rsid w:val="00EA2E4A"/>
    <w:rsid w:val="00EB0594"/>
    <w:rsid w:val="00EC1DD9"/>
    <w:rsid w:val="00EE3856"/>
    <w:rsid w:val="00F52F22"/>
    <w:rsid w:val="00F90BC9"/>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link w:val="Balk1Char"/>
    <w:uiPriority w:val="9"/>
    <w:qFormat/>
    <w:rsid w:val="00E460E3"/>
    <w:pPr>
      <w:spacing w:before="19"/>
      <w:ind w:left="355" w:hanging="214"/>
      <w:outlineLvl w:val="0"/>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7B0D04"/>
    <w:rPr>
      <w:color w:val="605E5C"/>
      <w:shd w:val="clear" w:color="auto" w:fill="E1DFDD"/>
    </w:rPr>
  </w:style>
  <w:style w:type="character" w:customStyle="1" w:styleId="Balk1Char">
    <w:name w:val="Başlık 1 Char"/>
    <w:basedOn w:val="VarsaylanParagrafYazTipi"/>
    <w:link w:val="Balk1"/>
    <w:uiPriority w:val="9"/>
    <w:rsid w:val="00E460E3"/>
    <w:rPr>
      <w:rFonts w:ascii="Calibri" w:eastAsia="Calibri" w:hAnsi="Calibri" w:cs="Calibri"/>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le.gov.tr/sss/cocuk-hizmetleri-genel-mudurlugu/koruyucu-ve-onleyici-hizmetler/" TargetMode="External"/><Relationship Id="rId3" Type="http://schemas.openxmlformats.org/officeDocument/2006/relationships/settings" Target="settings.xml"/><Relationship Id="rId7" Type="http://schemas.openxmlformats.org/officeDocument/2006/relationships/hyperlink" Target="https://www.who.int/news-room/fact-sheets/detail/child-maltrea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le.gov.tr/media/2499/cocuk-bakim-kuruluslarinda-calisan-personele-yonelik-istismarla-mucadele-rehber-kitapcigi.pdf" TargetMode="External"/><Relationship Id="rId11" Type="http://schemas.openxmlformats.org/officeDocument/2006/relationships/theme" Target="theme/theme1.xml"/><Relationship Id="rId5" Type="http://schemas.openxmlformats.org/officeDocument/2006/relationships/hyperlink" Target="mailto:elifozaydindemirbas@aybu.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802</Words>
  <Characters>4576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13</cp:revision>
  <dcterms:created xsi:type="dcterms:W3CDTF">2025-10-17T16:50:00Z</dcterms:created>
  <dcterms:modified xsi:type="dcterms:W3CDTF">2025-11-11T07:35:00Z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