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1BFC6F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807E90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4165C3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5C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5C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5C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5C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4165C3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751DE3C" w:rsidR="00867237" w:rsidRPr="00A07762" w:rsidRDefault="004165C3" w:rsidP="004165C3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İzlencenin </w:t>
            </w:r>
            <w:r w:rsidR="00867237" w:rsidRPr="00A07762">
              <w:rPr>
                <w:b/>
                <w:spacing w:val="-2"/>
                <w:sz w:val="20"/>
              </w:rPr>
              <w:t>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7DF2B564" w:rsidR="00867237" w:rsidRPr="00A07762" w:rsidRDefault="00807E9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</w:t>
            </w:r>
            <w:r w:rsidR="009D329D">
              <w:rPr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36156BD" w:rsidR="00867237" w:rsidRPr="00A07762" w:rsidRDefault="00807E9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Genel Mikrobiyoloji</w:t>
            </w:r>
          </w:p>
        </w:tc>
        <w:tc>
          <w:tcPr>
            <w:tcW w:w="1276" w:type="dxa"/>
            <w:vAlign w:val="center"/>
          </w:tcPr>
          <w:p w14:paraId="2EDFD95E" w14:textId="47448502" w:rsidR="00867237" w:rsidRPr="00A07762" w:rsidRDefault="00807E90" w:rsidP="00807E9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AAF831B" w:rsidR="00867237" w:rsidRPr="00A07762" w:rsidRDefault="00807E90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325A926" w:rsidR="00867237" w:rsidRPr="00A07762" w:rsidRDefault="009D329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672DB78" w:rsidR="000441DB" w:rsidRPr="004A7D19" w:rsidRDefault="00807E90" w:rsidP="009B50FD">
            <w:pPr>
              <w:pStyle w:val="TableParagraph"/>
              <w:jc w:val="both"/>
              <w:rPr>
                <w:sz w:val="20"/>
                <w:szCs w:val="20"/>
              </w:rPr>
            </w:pPr>
            <w:r w:rsidRPr="004A7D19">
              <w:rPr>
                <w:sz w:val="20"/>
                <w:szCs w:val="20"/>
              </w:rPr>
              <w:t xml:space="preserve">Dr. </w:t>
            </w:r>
            <w:proofErr w:type="spellStart"/>
            <w:r w:rsidRPr="004A7D19">
              <w:rPr>
                <w:sz w:val="20"/>
                <w:szCs w:val="20"/>
              </w:rPr>
              <w:t>Öğr</w:t>
            </w:r>
            <w:proofErr w:type="spellEnd"/>
            <w:r w:rsidRPr="004A7D19">
              <w:rPr>
                <w:sz w:val="20"/>
                <w:szCs w:val="20"/>
              </w:rPr>
              <w:t>. Üyesi İ</w:t>
            </w:r>
            <w:r w:rsidR="009F4D11" w:rsidRPr="004A7D19">
              <w:rPr>
                <w:sz w:val="20"/>
                <w:szCs w:val="20"/>
              </w:rPr>
              <w:t>lyas ALAK &amp;</w:t>
            </w:r>
            <w:r w:rsidRPr="004A7D19">
              <w:rPr>
                <w:sz w:val="20"/>
                <w:szCs w:val="20"/>
              </w:rPr>
              <w:t xml:space="preserve"> </w:t>
            </w:r>
            <w:r w:rsidRPr="004A7D19">
              <w:rPr>
                <w:sz w:val="20"/>
                <w:szCs w:val="20"/>
                <w:shd w:val="clear" w:color="auto" w:fill="FFFFFF"/>
              </w:rPr>
              <w:t>ialak@aybu.edu.tr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C4C7696" w:rsidR="00867237" w:rsidRPr="00AB2D7B" w:rsidRDefault="009F4D11" w:rsidP="009F4D11">
            <w:pPr>
              <w:pStyle w:val="TableParagraph"/>
              <w:jc w:val="both"/>
              <w:rPr>
                <w:bCs/>
                <w:sz w:val="20"/>
              </w:rPr>
            </w:pPr>
            <w:r w:rsidRPr="00AB2D7B">
              <w:rPr>
                <w:bCs/>
                <w:sz w:val="20"/>
              </w:rPr>
              <w:t>Perşembe-15.00-17.00 &amp; Akademisyen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5EF2BDCF" w:rsidR="00630C60" w:rsidRPr="00AB2D7B" w:rsidRDefault="009F4D11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AB2D7B">
              <w:rPr>
                <w:rFonts w:ascii="Calibri" w:hAnsi="Calibri" w:cs="Arial"/>
                <w:sz w:val="20"/>
              </w:rPr>
              <w:t xml:space="preserve">Mikroorganizmaların genel özellikleri, mikroorganizmalarda beslenme ve gelişme koşulları, mikroorganizmalarda çoğalma ve gelişmenin kontrol altına alınması, </w:t>
            </w:r>
            <w:proofErr w:type="spellStart"/>
            <w:r w:rsidRPr="00AB2D7B">
              <w:rPr>
                <w:rFonts w:ascii="Calibri" w:hAnsi="Calibri" w:cs="Arial"/>
                <w:sz w:val="20"/>
              </w:rPr>
              <w:t>mikrobiyal</w:t>
            </w:r>
            <w:proofErr w:type="spellEnd"/>
            <w:r w:rsidRPr="00AB2D7B">
              <w:rPr>
                <w:rFonts w:ascii="Calibri" w:hAnsi="Calibri" w:cs="Arial"/>
                <w:sz w:val="20"/>
              </w:rPr>
              <w:t xml:space="preserve"> metabolizma, mikroorganizmalarda çeşitlilik gibi konularda ve </w:t>
            </w:r>
            <w:proofErr w:type="gramStart"/>
            <w:r w:rsidRPr="00AB2D7B">
              <w:rPr>
                <w:rFonts w:ascii="Calibri" w:hAnsi="Calibri" w:cs="Arial"/>
                <w:sz w:val="20"/>
              </w:rPr>
              <w:t>enfeksiyon</w:t>
            </w:r>
            <w:proofErr w:type="gramEnd"/>
            <w:r w:rsidRPr="00AB2D7B">
              <w:rPr>
                <w:rFonts w:ascii="Calibri" w:hAnsi="Calibri" w:cs="Arial"/>
                <w:sz w:val="20"/>
              </w:rPr>
              <w:t xml:space="preserve"> mekanizmalarına ilişkin temel kavramlarla ilgili bilgi vermeyi amaçlar.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BF6123C" w14:textId="6A650F8C" w:rsidR="009D329D" w:rsidRPr="00AB2D7B" w:rsidRDefault="00501F56" w:rsidP="00E52C98">
            <w:pPr>
              <w:widowControl/>
              <w:autoSpaceDE/>
              <w:autoSpaceDN/>
              <w:contextualSpacing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="004165C3">
              <w:rPr>
                <w:rFonts w:ascii="Calibri" w:hAnsi="Calibri" w:cs="Arial"/>
                <w:sz w:val="20"/>
                <w:szCs w:val="20"/>
              </w:rPr>
              <w:t>Mikrobiyoloji ve İmmünoloji, Mikrobiyoloji ve E</w:t>
            </w:r>
            <w:r w:rsidR="009D329D" w:rsidRPr="00AB2D7B">
              <w:rPr>
                <w:rFonts w:ascii="Calibri" w:hAnsi="Calibri" w:cs="Arial"/>
                <w:sz w:val="20"/>
                <w:szCs w:val="20"/>
              </w:rPr>
              <w:t>pidemiyoloji</w:t>
            </w:r>
            <w:r w:rsidR="00E52C98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E72A40">
              <w:rPr>
                <w:rFonts w:ascii="Calibri" w:hAnsi="Calibri" w:cs="Arial"/>
                <w:sz w:val="20"/>
                <w:szCs w:val="20"/>
              </w:rPr>
              <w:t xml:space="preserve">Anadolu </w:t>
            </w:r>
            <w:proofErr w:type="spellStart"/>
            <w:r w:rsidR="00E72A40">
              <w:rPr>
                <w:rFonts w:ascii="Calibri" w:hAnsi="Calibri" w:cs="Arial"/>
                <w:sz w:val="20"/>
                <w:szCs w:val="20"/>
              </w:rPr>
              <w:t>Üni</w:t>
            </w:r>
            <w:proofErr w:type="spellEnd"/>
            <w:r w:rsidR="004A7D19">
              <w:rPr>
                <w:rFonts w:ascii="Calibri" w:hAnsi="Calibri" w:cs="Arial"/>
                <w:sz w:val="20"/>
                <w:szCs w:val="20"/>
              </w:rPr>
              <w:t xml:space="preserve">. Yayınları, </w:t>
            </w:r>
            <w:r w:rsidR="009D329D" w:rsidRPr="00AB2D7B">
              <w:rPr>
                <w:rFonts w:ascii="Calibri" w:hAnsi="Calibri" w:cs="Arial"/>
                <w:sz w:val="20"/>
                <w:szCs w:val="20"/>
              </w:rPr>
              <w:t>2015</w:t>
            </w:r>
          </w:p>
          <w:p w14:paraId="6093A56F" w14:textId="5335EF35" w:rsidR="007F7043" w:rsidRPr="00136669" w:rsidRDefault="00501F56" w:rsidP="004A7D19">
            <w:pPr>
              <w:widowControl/>
              <w:autoSpaceDE/>
              <w:autoSpaceDN/>
              <w:contextualSpacing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="004165C3">
              <w:rPr>
                <w:rFonts w:ascii="Calibri" w:hAnsi="Calibri" w:cs="Arial"/>
                <w:sz w:val="20"/>
                <w:szCs w:val="20"/>
              </w:rPr>
              <w:t>Temel M</w:t>
            </w:r>
            <w:r w:rsidR="009D329D" w:rsidRPr="00AB2D7B">
              <w:rPr>
                <w:rFonts w:ascii="Calibri" w:hAnsi="Calibri" w:cs="Arial"/>
                <w:sz w:val="20"/>
                <w:szCs w:val="20"/>
              </w:rPr>
              <w:t>ikrobiyoloji</w:t>
            </w:r>
            <w:r w:rsidR="00E52C98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9D329D" w:rsidRPr="00AB2D7B">
              <w:rPr>
                <w:rFonts w:ascii="Calibri" w:hAnsi="Calibri" w:cs="Arial"/>
                <w:sz w:val="20"/>
                <w:szCs w:val="20"/>
              </w:rPr>
              <w:t xml:space="preserve">Prof. Dr. Mustafa ARDA, </w:t>
            </w:r>
            <w:proofErr w:type="spellStart"/>
            <w:r w:rsidR="004A7D19">
              <w:rPr>
                <w:rFonts w:ascii="Calibri" w:hAnsi="Calibri" w:cs="Arial"/>
                <w:sz w:val="20"/>
                <w:szCs w:val="20"/>
              </w:rPr>
              <w:t>Medisan</w:t>
            </w:r>
            <w:proofErr w:type="spellEnd"/>
            <w:r w:rsidR="004A7D19">
              <w:rPr>
                <w:rFonts w:ascii="Calibri" w:hAnsi="Calibri" w:cs="Arial"/>
                <w:sz w:val="20"/>
                <w:szCs w:val="20"/>
              </w:rPr>
              <w:t xml:space="preserve"> Yayınevi, </w:t>
            </w:r>
            <w:r w:rsidR="009D329D" w:rsidRPr="00AB2D7B">
              <w:rPr>
                <w:rFonts w:ascii="Calibri" w:hAnsi="Calibri" w:cs="Arial"/>
                <w:sz w:val="20"/>
                <w:szCs w:val="20"/>
              </w:rPr>
              <w:t>2000</w:t>
            </w:r>
          </w:p>
        </w:tc>
      </w:tr>
      <w:tr w:rsidR="00630C60" w:rsidRPr="00A07762" w14:paraId="51BF0839" w14:textId="77777777" w:rsidTr="008067CE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11990F3" w:rsidR="00630C60" w:rsidRPr="00EA0355" w:rsidRDefault="00501F56" w:rsidP="002F6A90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Bu</w:t>
            </w:r>
            <w:r w:rsidR="00C63DB9" w:rsidRPr="00EA0355">
              <w:rPr>
                <w:sz w:val="20"/>
              </w:rPr>
              <w:t xml:space="preserve"> derste</w:t>
            </w:r>
            <w:r w:rsidR="00AB2D7B">
              <w:rPr>
                <w:sz w:val="20"/>
              </w:rPr>
              <w:t xml:space="preserve">; </w:t>
            </w:r>
            <w:r w:rsidR="00C63DB9" w:rsidRPr="00EA0355">
              <w:rPr>
                <w:sz w:val="20"/>
              </w:rPr>
              <w:t xml:space="preserve">ev ödevi, </w:t>
            </w:r>
            <w:r w:rsidR="00AB2D7B">
              <w:rPr>
                <w:sz w:val="20"/>
              </w:rPr>
              <w:t xml:space="preserve">anlatılan konu üzerine </w:t>
            </w:r>
            <w:r w:rsidR="00C63DB9" w:rsidRPr="00EA0355">
              <w:rPr>
                <w:sz w:val="20"/>
              </w:rPr>
              <w:t xml:space="preserve">sınıf tartışması, </w:t>
            </w:r>
            <w:r w:rsidR="00AB2D7B">
              <w:rPr>
                <w:sz w:val="20"/>
              </w:rPr>
              <w:t>bazı derslerde video</w:t>
            </w:r>
            <w:r w:rsidR="00C63DB9" w:rsidRPr="00EA0355">
              <w:rPr>
                <w:sz w:val="20"/>
              </w:rPr>
              <w:t xml:space="preserve"> materyali </w:t>
            </w:r>
            <w:r w:rsidR="00AB2D7B">
              <w:rPr>
                <w:sz w:val="20"/>
              </w:rPr>
              <w:t>ve sunu sonrası konu de</w:t>
            </w:r>
            <w:r w:rsidR="00924FB3">
              <w:rPr>
                <w:sz w:val="20"/>
              </w:rPr>
              <w:t>ğerlendirmesi ile bazı haftalarda konu üzerine bilginin ölçülmesi</w:t>
            </w:r>
            <w:r w:rsidR="00AB2D7B">
              <w:rPr>
                <w:sz w:val="20"/>
              </w:rPr>
              <w:t xml:space="preserve"> amacıyla </w:t>
            </w:r>
            <w:proofErr w:type="spellStart"/>
            <w:r w:rsidR="00AB2D7B">
              <w:rPr>
                <w:sz w:val="20"/>
              </w:rPr>
              <w:t>quiz</w:t>
            </w:r>
            <w:proofErr w:type="spellEnd"/>
            <w:r w:rsidR="00AB2D7B">
              <w:rPr>
                <w:sz w:val="20"/>
              </w:rPr>
              <w:t xml:space="preserve"> yapılacaktır.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15EDC57" w:rsidR="003D5B92" w:rsidRPr="00346E5B" w:rsidRDefault="00346E5B" w:rsidP="00346E5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0"/>
                    </w:rPr>
                    <w:t xml:space="preserve">Laboratuvarda kullanılan alet ve </w:t>
                  </w:r>
                  <w:proofErr w:type="gramStart"/>
                  <w:r w:rsidRPr="00346E5B">
                    <w:rPr>
                      <w:rFonts w:ascii="Calibri" w:hAnsi="Calibri" w:cs="Arial"/>
                      <w:sz w:val="20"/>
                      <w:szCs w:val="20"/>
                    </w:rPr>
                    <w:t>ekipmanları</w:t>
                  </w:r>
                  <w:proofErr w:type="gramEnd"/>
                  <w:r w:rsidRPr="00346E5B">
                    <w:rPr>
                      <w:rFonts w:ascii="Calibri" w:hAnsi="Calibri" w:cs="Arial"/>
                      <w:sz w:val="20"/>
                      <w:szCs w:val="20"/>
                    </w:rPr>
                    <w:t xml:space="preserve"> tanımak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04F74BA" w:rsidR="003D5B92" w:rsidRPr="00346E5B" w:rsidRDefault="00346E5B" w:rsidP="00346E5B">
                  <w:pPr>
                    <w:rPr>
                      <w:rFonts w:ascii="Calibri" w:hAnsi="Calibri" w:cs="Arial"/>
                      <w:sz w:val="28"/>
                      <w:szCs w:val="26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Mikroorganizmalar ile ilgili temel bilgileri öğrenmek.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A59F7D0" w:rsidR="003D5B92" w:rsidRPr="00346E5B" w:rsidRDefault="00346E5B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Bakterilerin anatomik yapısı, beslenmesi, üremesi ve metabolizması hakkında bilgi edinmek.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2206B1F" w:rsidR="00AE2FFC" w:rsidRPr="00346E5B" w:rsidRDefault="00346E5B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Mikroorganizmaların insanlar ve hayvanlar arasındaki ilişkilerini belirlemek.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3CFBDCD" w:rsidR="00AE2FFC" w:rsidRPr="00346E5B" w:rsidRDefault="00346E5B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Önemli bakteriyel hastalıklara dair bilgileri öğrenmek.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405CC0C6" w:rsidR="00AE2FFC" w:rsidRPr="00346E5B" w:rsidRDefault="00346E5B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Bağışıklık sistemi hakkında bilgi edinmek.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4F1D4BE8" w:rsidR="00AE2FFC" w:rsidRPr="00346E5B" w:rsidRDefault="00346E5B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Hastalık yapıcı mikroorganizma özelliklerini öğrenmek.</w:t>
                  </w:r>
                </w:p>
              </w:tc>
            </w:tr>
            <w:tr w:rsidR="00346E5B" w14:paraId="59A3E1F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59FDED19" w14:textId="7F20B1F2" w:rsidR="00346E5B" w:rsidRDefault="00346E5B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7D7DAEB2" w14:textId="701A6A23" w:rsidR="00346E5B" w:rsidRPr="00346E5B" w:rsidRDefault="00346E5B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 xml:space="preserve">Bakterilerin </w:t>
                  </w:r>
                  <w:proofErr w:type="spellStart"/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virulens</w:t>
                  </w:r>
                  <w:proofErr w:type="spellEnd"/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 xml:space="preserve"> faktörlerini tanımak.</w:t>
                  </w:r>
                </w:p>
              </w:tc>
            </w:tr>
            <w:tr w:rsidR="00346E5B" w14:paraId="64847162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DEFCF76" w14:textId="5C459477" w:rsidR="00346E5B" w:rsidRDefault="00346E5B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43F68CCD" w14:textId="76F5FE31" w:rsidR="00346E5B" w:rsidRPr="00346E5B" w:rsidRDefault="00A96E3B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>
                    <w:rPr>
                      <w:rFonts w:ascii="Calibri" w:hAnsi="Calibri" w:cs="Arial"/>
                      <w:sz w:val="20"/>
                      <w:szCs w:val="26"/>
                    </w:rPr>
                    <w:t>Bakterilerin DNA’larını tanımak</w:t>
                  </w:r>
                  <w:r w:rsidR="00346E5B" w:rsidRPr="00346E5B">
                    <w:rPr>
                      <w:rFonts w:ascii="Calibri" w:hAnsi="Calibri" w:cs="Arial"/>
                      <w:sz w:val="20"/>
                      <w:szCs w:val="26"/>
                    </w:rPr>
                    <w:t xml:space="preserve"> ve </w:t>
                  </w:r>
                  <w:proofErr w:type="spellStart"/>
                  <w:r w:rsidR="00346E5B" w:rsidRPr="00346E5B">
                    <w:rPr>
                      <w:rFonts w:ascii="Calibri" w:hAnsi="Calibri" w:cs="Arial"/>
                      <w:sz w:val="20"/>
                      <w:szCs w:val="26"/>
                    </w:rPr>
                    <w:t>identifikasyonunu</w:t>
                  </w:r>
                  <w:proofErr w:type="spellEnd"/>
                  <w:r w:rsidR="00346E5B" w:rsidRPr="00346E5B">
                    <w:rPr>
                      <w:rFonts w:ascii="Calibri" w:hAnsi="Calibri" w:cs="Arial"/>
                      <w:sz w:val="20"/>
                      <w:szCs w:val="26"/>
                    </w:rPr>
                    <w:t xml:space="preserve"> öğrenmek.</w:t>
                  </w:r>
                </w:p>
              </w:tc>
            </w:tr>
            <w:tr w:rsidR="00346E5B" w14:paraId="0FB98C3C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761ABB79" w14:textId="745D7BAF" w:rsidR="00346E5B" w:rsidRDefault="00346E5B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8015" w:type="dxa"/>
                </w:tcPr>
                <w:p w14:paraId="7A970C23" w14:textId="03BBC473" w:rsidR="00346E5B" w:rsidRPr="00346E5B" w:rsidRDefault="00346E5B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346E5B">
                    <w:rPr>
                      <w:rFonts w:ascii="Calibri" w:hAnsi="Calibri" w:cs="Arial"/>
                      <w:sz w:val="20"/>
                      <w:szCs w:val="26"/>
                    </w:rPr>
                    <w:t>Bakteriyel gruplara örnekler vermek.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1942EA70" w:rsidR="006F7080" w:rsidRPr="000A6D32" w:rsidRDefault="000A6D32" w:rsidP="000A6D32">
                  <w:pPr>
                    <w:jc w:val="center"/>
                    <w:rPr>
                      <w:sz w:val="20"/>
                      <w:szCs w:val="20"/>
                    </w:rPr>
                  </w:pPr>
                  <w:r w:rsidRPr="000A6D32">
                    <w:rPr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4B5364BF" w:rsidR="006F7080" w:rsidRPr="009420A0" w:rsidRDefault="000A6D3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9420A0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</w:t>
                  </w:r>
                  <w:r w:rsidR="009420A0">
                    <w:rPr>
                      <w:rFonts w:ascii="Calibri" w:hAnsi="Calibri" w:cs="Calibri"/>
                      <w:sz w:val="20"/>
                      <w:szCs w:val="20"/>
                    </w:rPr>
                    <w:t>ektiğinde kullanabilme becerisine sahiptir.</w:t>
                  </w:r>
                </w:p>
              </w:tc>
            </w:tr>
            <w:tr w:rsidR="006F7080" w14:paraId="084F6DA6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5905B61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38D40BFC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Aldığı bilgiyi yorumlayar</w:t>
                  </w:r>
                  <w:r w:rsidR="00EC73D0">
                    <w:rPr>
                      <w:rFonts w:ascii="Calibri" w:hAnsi="Calibri" w:cs="Calibri"/>
                      <w:sz w:val="20"/>
                      <w:szCs w:val="18"/>
                    </w:rPr>
                    <w:t>ak değerlendirme, analiz etme,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 xml:space="preserve"> sent</w:t>
                  </w:r>
                  <w:r w:rsidR="00EC73D0">
                    <w:rPr>
                      <w:rFonts w:ascii="Calibri" w:hAnsi="Calibri" w:cs="Calibri"/>
                      <w:sz w:val="20"/>
                      <w:szCs w:val="18"/>
                    </w:rPr>
                    <w:t xml:space="preserve">ezleme, bağımsız çalışabilme, 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planla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yabilme ve yönetebilme becerisine sahiptir.</w:t>
                  </w:r>
                </w:p>
              </w:tc>
            </w:tr>
            <w:tr w:rsidR="006F7080" w14:paraId="6E8DF19E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00A5517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18C6A32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Mesleki ve etik sorumluluk bilincine sahip olabilme ve mevzuatı takip edebilme becerisi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ne sahiptir.</w:t>
                  </w:r>
                </w:p>
              </w:tc>
            </w:tr>
            <w:tr w:rsidR="006F7080" w14:paraId="21978F1E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567B23AC" w14:textId="380AFB64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4D145F44" w14:textId="16994B2B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Laboratuvar alanında bilgi sahibi olur</w:t>
                  </w:r>
                  <w:r w:rsidR="00EC73D0">
                    <w:rPr>
                      <w:rFonts w:ascii="Calibri" w:hAnsi="Calibri" w:cs="Calibri"/>
                      <w:sz w:val="20"/>
                      <w:szCs w:val="18"/>
                    </w:rPr>
                    <w:t>, laboratuvar cihazlarını bilir/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tanır ve aktif olarak kullanır. Kimyasal maddeler</w:t>
                  </w:r>
                  <w:r w:rsidR="00EC73D0">
                    <w:rPr>
                      <w:rFonts w:ascii="Calibri" w:hAnsi="Calibri" w:cs="Calibri"/>
                      <w:sz w:val="20"/>
                      <w:szCs w:val="18"/>
                    </w:rPr>
                    <w:t xml:space="preserve"> hakkında bilgi sahibi olur ve b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unları aktif şekilde kullanabilir. Kiş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isel güvenlik önlemlerini bilme becerisine sahiptir.</w:t>
                  </w:r>
                </w:p>
              </w:tc>
            </w:tr>
            <w:tr w:rsidR="006F7080" w14:paraId="578B2B92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4E5A3C74" w14:textId="11E733FE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76CDFDB6" w14:textId="59EDC68F" w:rsidR="006F7080" w:rsidRPr="000A6D32" w:rsidRDefault="000A6D32" w:rsidP="000A6D32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Pet ve çiftlik hayvanlarının sağlık sorunlarına profesyonel düzeyde yaklaşım sahibidir.</w:t>
                  </w:r>
                </w:p>
              </w:tc>
            </w:tr>
            <w:tr w:rsidR="00AE2FFC" w14:paraId="1FC64131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0425991D" w14:textId="33EA2DA1" w:rsidR="00AE2FFC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16F8ECE" w14:textId="500D93C1" w:rsidR="00AE2FFC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İnsan, hayvan ve hayvan sahibinin hakları, hayvan refahı ve 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8B40D6C" w:rsidR="00630C60" w:rsidRPr="00A07762" w:rsidRDefault="00970507" w:rsidP="0097050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Dersi alan öğrenciler;</w:t>
            </w:r>
            <w:r w:rsidR="004B6691">
              <w:rPr>
                <w:sz w:val="20"/>
              </w:rPr>
              <w:t xml:space="preserve"> genel mikrobiyoloji bilgileri</w:t>
            </w:r>
            <w:r>
              <w:rPr>
                <w:sz w:val="20"/>
              </w:rPr>
              <w:t xml:space="preserve"> ışığında, mikroorganizmaların yaşam döngülerini ve neden oldukları hastalıklar ile son basamak olan insan sağlığına etkileri üzerine </w:t>
            </w:r>
            <w:r w:rsidR="004B6691">
              <w:rPr>
                <w:sz w:val="20"/>
              </w:rPr>
              <w:t>bilgi sahibi olabilecek</w:t>
            </w:r>
            <w:r>
              <w:rPr>
                <w:sz w:val="20"/>
              </w:rPr>
              <w:t>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C7BE026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Mikrobiyolojiye Giriş 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3B20EB9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Mikrobiyolojiye Giriş II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4B483D2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Bakterilerin Anatomik Yapısı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EE72A50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Bakterilerin Kimyasal Yapısı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EA11B9B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Bakterilerde Beslenme ve Üreme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9C857C0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Bakterilerin Genetik Karakterleri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9604F87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Bakterilerde Varyasyonlar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69EBDCE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Bakterilerde Genetik Madde Aktarımı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130640F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proofErr w:type="spellStart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Bakteriyofajlar</w:t>
                  </w:r>
                  <w:proofErr w:type="spellEnd"/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8A273A1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Virüslerin Genel Özellikleri 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1685174C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Virüslerin Genel Özellikleri II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02BFC66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Önemli Bakteriyel/</w:t>
                  </w:r>
                  <w:proofErr w:type="spellStart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Viral</w:t>
                  </w:r>
                  <w:proofErr w:type="spellEnd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Hastalıklar 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030C291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Önemli Bakteriyel/</w:t>
                  </w:r>
                  <w:proofErr w:type="spellStart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Viral</w:t>
                  </w:r>
                  <w:proofErr w:type="spellEnd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Hastalıklar II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6AD0EDE" w:rsidR="00AE2FFC" w:rsidRPr="00B77E3B" w:rsidRDefault="00B77E3B" w:rsidP="00AE2FFC">
                  <w:pPr>
                    <w:jc w:val="both"/>
                    <w:rPr>
                      <w:sz w:val="20"/>
                    </w:rPr>
                  </w:pPr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Önemli Bakteriyel/</w:t>
                  </w:r>
                  <w:proofErr w:type="spellStart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>Viral</w:t>
                  </w:r>
                  <w:proofErr w:type="spellEnd"/>
                  <w:r w:rsidRPr="00B77E3B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Hastalıklar III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82021F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77E3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3C4710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77E3B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18F299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8321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260"/>
    <w:multiLevelType w:val="hybridMultilevel"/>
    <w:tmpl w:val="ABC8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0"/>
    <w:rsid w:val="0003589E"/>
    <w:rsid w:val="000441DB"/>
    <w:rsid w:val="00054823"/>
    <w:rsid w:val="00093162"/>
    <w:rsid w:val="000A6D32"/>
    <w:rsid w:val="00136669"/>
    <w:rsid w:val="001B4555"/>
    <w:rsid w:val="00206D7B"/>
    <w:rsid w:val="00283219"/>
    <w:rsid w:val="00284643"/>
    <w:rsid w:val="00296B46"/>
    <w:rsid w:val="002C43F4"/>
    <w:rsid w:val="002F6A90"/>
    <w:rsid w:val="00307168"/>
    <w:rsid w:val="003404B8"/>
    <w:rsid w:val="00346E5B"/>
    <w:rsid w:val="003642A1"/>
    <w:rsid w:val="003D5B92"/>
    <w:rsid w:val="004165C3"/>
    <w:rsid w:val="00416BD3"/>
    <w:rsid w:val="00423F35"/>
    <w:rsid w:val="0043309A"/>
    <w:rsid w:val="004376DC"/>
    <w:rsid w:val="00440654"/>
    <w:rsid w:val="0048206C"/>
    <w:rsid w:val="004A7D19"/>
    <w:rsid w:val="004B6691"/>
    <w:rsid w:val="004C48BD"/>
    <w:rsid w:val="00501F56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7F7043"/>
    <w:rsid w:val="008067CE"/>
    <w:rsid w:val="00807E90"/>
    <w:rsid w:val="00812CCA"/>
    <w:rsid w:val="008572D7"/>
    <w:rsid w:val="00867237"/>
    <w:rsid w:val="00871F5E"/>
    <w:rsid w:val="00883C26"/>
    <w:rsid w:val="008B015F"/>
    <w:rsid w:val="008B7E4A"/>
    <w:rsid w:val="008C2FEF"/>
    <w:rsid w:val="008F5B0A"/>
    <w:rsid w:val="00924FB3"/>
    <w:rsid w:val="00930D25"/>
    <w:rsid w:val="009341D6"/>
    <w:rsid w:val="009420A0"/>
    <w:rsid w:val="0095231C"/>
    <w:rsid w:val="00970507"/>
    <w:rsid w:val="00974855"/>
    <w:rsid w:val="009B50FD"/>
    <w:rsid w:val="009B6C66"/>
    <w:rsid w:val="009D329D"/>
    <w:rsid w:val="009F4D11"/>
    <w:rsid w:val="00A07762"/>
    <w:rsid w:val="00A27A75"/>
    <w:rsid w:val="00A96E3B"/>
    <w:rsid w:val="00AB2D7B"/>
    <w:rsid w:val="00AE2FFC"/>
    <w:rsid w:val="00AF5B8B"/>
    <w:rsid w:val="00B75D3B"/>
    <w:rsid w:val="00B77E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52C98"/>
    <w:rsid w:val="00E72A40"/>
    <w:rsid w:val="00EA0355"/>
    <w:rsid w:val="00EA2E4A"/>
    <w:rsid w:val="00EB0594"/>
    <w:rsid w:val="00EC1DD9"/>
    <w:rsid w:val="00EC73D0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F803740A-EFA3-4242-913F-5C56B2A8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D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33</cp:revision>
  <cp:lastPrinted>2025-10-23T08:43:00Z</cp:lastPrinted>
  <dcterms:created xsi:type="dcterms:W3CDTF">2025-10-16T12:39:00Z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