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6469" w14:textId="77777777" w:rsidR="00857622" w:rsidRPr="0073616F" w:rsidRDefault="00DF4677" w:rsidP="00DF4677">
      <w:pPr>
        <w:spacing w:line="240" w:lineRule="auto"/>
        <w:contextualSpacing/>
        <w:jc w:val="center"/>
        <w:rPr>
          <w:rFonts w:ascii="Times New Roman" w:hAnsi="Times New Roman" w:cs="Times New Roman"/>
        </w:rPr>
      </w:pPr>
      <w:r w:rsidRPr="0073616F">
        <w:rPr>
          <w:rFonts w:ascii="Times New Roman" w:hAnsi="Times New Roman" w:cs="Times New Roman"/>
        </w:rPr>
        <w:t xml:space="preserve">Ankara Yıldırım Beyazıt University </w:t>
      </w:r>
    </w:p>
    <w:p w14:paraId="1914A6A8" w14:textId="3C240FC2" w:rsidR="00DF4677" w:rsidRPr="0073616F" w:rsidRDefault="00DF4677" w:rsidP="00DF4677">
      <w:pPr>
        <w:spacing w:line="240" w:lineRule="auto"/>
        <w:contextualSpacing/>
        <w:jc w:val="center"/>
        <w:rPr>
          <w:rFonts w:ascii="Times New Roman" w:hAnsi="Times New Roman" w:cs="Times New Roman"/>
        </w:rPr>
      </w:pPr>
      <w:r w:rsidRPr="0073616F">
        <w:rPr>
          <w:rFonts w:ascii="Times New Roman" w:hAnsi="Times New Roman" w:cs="Times New Roman"/>
        </w:rPr>
        <w:t>Faculty of Business</w:t>
      </w:r>
    </w:p>
    <w:p w14:paraId="484A309B" w14:textId="40131CD8" w:rsidR="00DF4677" w:rsidRPr="0073616F" w:rsidRDefault="00DF4677" w:rsidP="00857622">
      <w:pPr>
        <w:spacing w:line="240" w:lineRule="auto"/>
        <w:contextualSpacing/>
        <w:jc w:val="center"/>
        <w:rPr>
          <w:rFonts w:ascii="Times New Roman" w:hAnsi="Times New Roman" w:cs="Times New Roman"/>
        </w:rPr>
      </w:pPr>
      <w:r w:rsidRPr="0073616F">
        <w:rPr>
          <w:rFonts w:ascii="Times New Roman" w:hAnsi="Times New Roman" w:cs="Times New Roman"/>
        </w:rPr>
        <w:t>Department</w:t>
      </w:r>
      <w:r w:rsidR="00857622" w:rsidRPr="0073616F">
        <w:rPr>
          <w:rFonts w:ascii="Times New Roman" w:hAnsi="Times New Roman" w:cs="Times New Roman"/>
        </w:rPr>
        <w:t xml:space="preserve"> of Management Information Systems</w:t>
      </w:r>
    </w:p>
    <w:p w14:paraId="61377F47" w14:textId="5FC34336" w:rsidR="00DF4677" w:rsidRPr="0073616F" w:rsidRDefault="006C56E5" w:rsidP="00DF4677">
      <w:pPr>
        <w:spacing w:line="240" w:lineRule="auto"/>
        <w:contextualSpacing/>
        <w:jc w:val="center"/>
        <w:rPr>
          <w:rFonts w:ascii="Times New Roman" w:hAnsi="Times New Roman" w:cs="Times New Roman"/>
        </w:rPr>
      </w:pPr>
      <w:r w:rsidRPr="0073616F">
        <w:rPr>
          <w:rFonts w:ascii="Times New Roman" w:hAnsi="Times New Roman" w:cs="Times New Roman"/>
        </w:rPr>
        <w:t>Doctoral Program Qualifying</w:t>
      </w:r>
      <w:r w:rsidR="00DF4677" w:rsidRPr="0073616F">
        <w:rPr>
          <w:rFonts w:ascii="Times New Roman" w:hAnsi="Times New Roman" w:cs="Times New Roman"/>
        </w:rPr>
        <w:t xml:space="preserve"> Exam Application Principles</w:t>
      </w:r>
    </w:p>
    <w:p w14:paraId="291A9FE2" w14:textId="77777777" w:rsidR="004209A9" w:rsidRPr="0073616F" w:rsidRDefault="004209A9" w:rsidP="00DF4677">
      <w:pPr>
        <w:spacing w:line="240" w:lineRule="auto"/>
        <w:contextualSpacing/>
        <w:jc w:val="center"/>
        <w:rPr>
          <w:rFonts w:ascii="Times New Roman" w:hAnsi="Times New Roman" w:cs="Times New Roman"/>
        </w:rPr>
      </w:pPr>
    </w:p>
    <w:p w14:paraId="7D7479D0" w14:textId="77777777" w:rsidR="004209A9" w:rsidRPr="0073616F" w:rsidRDefault="004209A9" w:rsidP="00DF4677">
      <w:pPr>
        <w:spacing w:line="240" w:lineRule="auto"/>
        <w:contextualSpacing/>
        <w:jc w:val="center"/>
        <w:rPr>
          <w:rFonts w:ascii="Times New Roman" w:hAnsi="Times New Roman" w:cs="Times New Roman"/>
        </w:rPr>
      </w:pPr>
    </w:p>
    <w:p w14:paraId="78722329" w14:textId="1F137628" w:rsidR="004209A9" w:rsidRPr="0073616F" w:rsidRDefault="006C56E5" w:rsidP="004209A9">
      <w:pPr>
        <w:rPr>
          <w:rFonts w:ascii="Times New Roman" w:hAnsi="Times New Roman" w:cs="Times New Roman"/>
        </w:rPr>
      </w:pPr>
      <w:r w:rsidRPr="0073616F">
        <w:rPr>
          <w:rFonts w:ascii="Times New Roman" w:hAnsi="Times New Roman" w:cs="Times New Roman"/>
        </w:rPr>
        <w:t>Article 1- PhD qualifying</w:t>
      </w:r>
      <w:r w:rsidR="004209A9" w:rsidRPr="0073616F">
        <w:rPr>
          <w:rFonts w:ascii="Times New Roman" w:hAnsi="Times New Roman" w:cs="Times New Roman"/>
        </w:rPr>
        <w:t xml:space="preserve"> exams are held to determine whether the student is equipped with the fundamental subjects and concepts in the field of management information systems.</w:t>
      </w:r>
    </w:p>
    <w:p w14:paraId="4DBBCCD0" w14:textId="1ACE838C" w:rsidR="004209A9" w:rsidRPr="0073616F" w:rsidRDefault="006C56E5" w:rsidP="004209A9">
      <w:pPr>
        <w:rPr>
          <w:rFonts w:ascii="Times New Roman" w:hAnsi="Times New Roman" w:cs="Times New Roman"/>
        </w:rPr>
      </w:pPr>
      <w:r w:rsidRPr="0073616F">
        <w:rPr>
          <w:rFonts w:ascii="Times New Roman" w:hAnsi="Times New Roman" w:cs="Times New Roman"/>
        </w:rPr>
        <w:t>Article 2 - PhD qualifying</w:t>
      </w:r>
      <w:r w:rsidR="004209A9" w:rsidRPr="0073616F">
        <w:rPr>
          <w:rFonts w:ascii="Times New Roman" w:hAnsi="Times New Roman" w:cs="Times New Roman"/>
        </w:rPr>
        <w:t xml:space="preserve"> exams are held face-to-face, with the</w:t>
      </w:r>
      <w:r w:rsidR="00C118DD" w:rsidRPr="0073616F">
        <w:rPr>
          <w:rFonts w:ascii="Times New Roman" w:hAnsi="Times New Roman" w:cs="Times New Roman"/>
        </w:rPr>
        <w:t xml:space="preserve"> participation of student adviso</w:t>
      </w:r>
      <w:r w:rsidR="004209A9" w:rsidRPr="0073616F">
        <w:rPr>
          <w:rFonts w:ascii="Times New Roman" w:hAnsi="Times New Roman" w:cs="Times New Roman"/>
        </w:rPr>
        <w:t>rs and jury members, in appropriate meeting rooms on the AYBU Cinnah Campus, during the dates designated in the academic calendar.</w:t>
      </w:r>
    </w:p>
    <w:p w14:paraId="38AD1736" w14:textId="05903D0B" w:rsidR="00DF4677" w:rsidRPr="0073616F" w:rsidRDefault="005C075E" w:rsidP="004209A9">
      <w:pPr>
        <w:rPr>
          <w:rFonts w:ascii="Times New Roman" w:hAnsi="Times New Roman" w:cs="Times New Roman"/>
        </w:rPr>
      </w:pPr>
      <w:r w:rsidRPr="0073616F">
        <w:rPr>
          <w:rFonts w:ascii="Times New Roman" w:hAnsi="Times New Roman" w:cs="Times New Roman"/>
        </w:rPr>
        <w:t>Article 3-</w:t>
      </w:r>
      <w:r w:rsidR="004209A9" w:rsidRPr="0073616F">
        <w:rPr>
          <w:rFonts w:ascii="Times New Roman" w:hAnsi="Times New Roman" w:cs="Times New Roman"/>
        </w:rPr>
        <w:t xml:space="preserve"> PhD </w:t>
      </w:r>
      <w:r w:rsidR="006C56E5" w:rsidRPr="0073616F">
        <w:rPr>
          <w:rFonts w:ascii="Times New Roman" w:hAnsi="Times New Roman" w:cs="Times New Roman"/>
        </w:rPr>
        <w:t>qualifying</w:t>
      </w:r>
      <w:r w:rsidR="004209A9" w:rsidRPr="0073616F">
        <w:rPr>
          <w:rFonts w:ascii="Times New Roman" w:hAnsi="Times New Roman" w:cs="Times New Roman"/>
        </w:rPr>
        <w:t xml:space="preserve"> exams are arranged and conducted by a five-person doctorate </w:t>
      </w:r>
      <w:r w:rsidR="006C56E5" w:rsidRPr="0073616F">
        <w:rPr>
          <w:rFonts w:ascii="Times New Roman" w:hAnsi="Times New Roman" w:cs="Times New Roman"/>
        </w:rPr>
        <w:t>qualifying</w:t>
      </w:r>
      <w:r w:rsidR="004209A9" w:rsidRPr="0073616F">
        <w:rPr>
          <w:rFonts w:ascii="Times New Roman" w:hAnsi="Times New Roman" w:cs="Times New Roman"/>
        </w:rPr>
        <w:t xml:space="preserve"> committee appointed by the department head and approved by the institute board of directors. The committee creates exam juries to prepare, administer, and assess exams in several subjects.</w:t>
      </w:r>
      <w:r w:rsidRPr="0073616F">
        <w:rPr>
          <w:rFonts w:ascii="Times New Roman" w:hAnsi="Times New Roman" w:cs="Times New Roman"/>
        </w:rPr>
        <w:t xml:space="preserve"> Doctoral </w:t>
      </w:r>
      <w:r w:rsidR="006C56E5" w:rsidRPr="0073616F">
        <w:rPr>
          <w:rFonts w:ascii="Times New Roman" w:hAnsi="Times New Roman" w:cs="Times New Roman"/>
        </w:rPr>
        <w:t>qualifying</w:t>
      </w:r>
      <w:r w:rsidRPr="0073616F">
        <w:rPr>
          <w:rFonts w:ascii="Times New Roman" w:hAnsi="Times New Roman" w:cs="Times New Roman"/>
        </w:rPr>
        <w:t xml:space="preserve"> jury is composed of five full faculty m</w:t>
      </w:r>
      <w:r w:rsidR="00FF1786" w:rsidRPr="0073616F">
        <w:rPr>
          <w:rFonts w:ascii="Times New Roman" w:hAnsi="Times New Roman" w:cs="Times New Roman"/>
        </w:rPr>
        <w:t>embers, one of whom is an adviso</w:t>
      </w:r>
      <w:r w:rsidRPr="0073616F">
        <w:rPr>
          <w:rFonts w:ascii="Times New Roman" w:hAnsi="Times New Roman" w:cs="Times New Roman"/>
        </w:rPr>
        <w:t>r and at least two from outside the university, plus two substitute faculty members, one from the same department/science and the other from outside the institution.</w:t>
      </w:r>
    </w:p>
    <w:p w14:paraId="63604FAD" w14:textId="036225DE" w:rsidR="005C075E" w:rsidRPr="0073616F" w:rsidRDefault="005C075E" w:rsidP="005C075E">
      <w:pPr>
        <w:rPr>
          <w:rFonts w:ascii="Times New Roman" w:hAnsi="Times New Roman" w:cs="Times New Roman"/>
        </w:rPr>
      </w:pPr>
      <w:r w:rsidRPr="0073616F">
        <w:rPr>
          <w:rFonts w:ascii="Times New Roman" w:hAnsi="Times New Roman" w:cs="Times New Roman"/>
        </w:rPr>
        <w:t xml:space="preserve">Article 4 -To apply for </w:t>
      </w:r>
      <w:r w:rsidR="006C56E5" w:rsidRPr="0073616F">
        <w:rPr>
          <w:rFonts w:ascii="Times New Roman" w:hAnsi="Times New Roman" w:cs="Times New Roman"/>
        </w:rPr>
        <w:t>qualifying</w:t>
      </w:r>
      <w:r w:rsidRPr="0073616F">
        <w:rPr>
          <w:rFonts w:ascii="Times New Roman" w:hAnsi="Times New Roman" w:cs="Times New Roman"/>
        </w:rPr>
        <w:t xml:space="preserve"> exam, students must first contact their department heads. Department Heads must send all applications approved by the doctorate </w:t>
      </w:r>
      <w:r w:rsidR="006C56E5" w:rsidRPr="0073616F">
        <w:rPr>
          <w:rFonts w:ascii="Times New Roman" w:hAnsi="Times New Roman" w:cs="Times New Roman"/>
        </w:rPr>
        <w:t>qualifying</w:t>
      </w:r>
      <w:r w:rsidRPr="0073616F">
        <w:rPr>
          <w:rFonts w:ascii="Times New Roman" w:hAnsi="Times New Roman" w:cs="Times New Roman"/>
        </w:rPr>
        <w:t xml:space="preserve"> committee to the Institute, along with a cover letter.</w:t>
      </w:r>
    </w:p>
    <w:p w14:paraId="00DD909E" w14:textId="5786C609" w:rsidR="005C075E" w:rsidRPr="0073616F" w:rsidRDefault="005C075E" w:rsidP="005C075E">
      <w:pPr>
        <w:rPr>
          <w:rFonts w:ascii="Times New Roman" w:hAnsi="Times New Roman" w:cs="Times New Roman"/>
        </w:rPr>
      </w:pPr>
      <w:r w:rsidRPr="0073616F">
        <w:rPr>
          <w:rFonts w:ascii="Times New Roman" w:hAnsi="Times New Roman" w:cs="Times New Roman"/>
        </w:rPr>
        <w:t>Article 5 - The student transcript is att</w:t>
      </w:r>
      <w:r w:rsidR="009A7E38" w:rsidRPr="0073616F">
        <w:rPr>
          <w:rFonts w:ascii="Times New Roman" w:hAnsi="Times New Roman" w:cs="Times New Roman"/>
        </w:rPr>
        <w:t xml:space="preserve">ached to the application form. </w:t>
      </w:r>
      <w:r w:rsidRPr="0073616F">
        <w:rPr>
          <w:rFonts w:ascii="Times New Roman" w:hAnsi="Times New Roman" w:cs="Times New Roman"/>
        </w:rPr>
        <w:t>Students can access tran</w:t>
      </w:r>
      <w:r w:rsidR="009A7E38" w:rsidRPr="0073616F">
        <w:rPr>
          <w:rFonts w:ascii="Times New Roman" w:hAnsi="Times New Roman" w:cs="Times New Roman"/>
        </w:rPr>
        <w:t>scripts from their own systems (cli</w:t>
      </w:r>
      <w:r w:rsidR="004A000F" w:rsidRPr="0073616F">
        <w:rPr>
          <w:rFonts w:ascii="Times New Roman" w:hAnsi="Times New Roman" w:cs="Times New Roman"/>
        </w:rPr>
        <w:t xml:space="preserve">ck on the link to see the </w:t>
      </w:r>
      <w:r w:rsidR="00266D3F" w:rsidRPr="0073616F">
        <w:rPr>
          <w:rFonts w:ascii="Times New Roman" w:hAnsi="Times New Roman" w:cs="Times New Roman"/>
        </w:rPr>
        <w:t xml:space="preserve"> course </w:t>
      </w:r>
      <w:r w:rsidR="009A7E38" w:rsidRPr="0073616F">
        <w:rPr>
          <w:rFonts w:ascii="Times New Roman" w:hAnsi="Times New Roman" w:cs="Times New Roman"/>
        </w:rPr>
        <w:t xml:space="preserve"> requirements </w:t>
      </w:r>
      <w:r w:rsidR="004A000F" w:rsidRPr="0073616F">
        <w:rPr>
          <w:rFonts w:ascii="Times New Roman" w:hAnsi="Times New Roman" w:cs="Times New Roman"/>
        </w:rPr>
        <w:t xml:space="preserve"> for qualifying exam </w:t>
      </w:r>
      <w:hyperlink r:id="rId4" w:history="1">
        <w:r w:rsidR="009A7E38" w:rsidRPr="0073616F">
          <w:rPr>
            <w:rStyle w:val="Kpr"/>
            <w:rFonts w:ascii="Times New Roman" w:hAnsi="Times New Roman" w:cs="Times New Roman"/>
          </w:rPr>
          <w:t>https://www.mevzuat.gov.tr/mevzuat?MevzuatNo=21510&amp;MevzuatTur=7&amp;MevzuatTertip=5</w:t>
        </w:r>
      </w:hyperlink>
      <w:r w:rsidR="009A7E38" w:rsidRPr="0073616F">
        <w:rPr>
          <w:rFonts w:ascii="Times New Roman" w:hAnsi="Times New Roman" w:cs="Times New Roman"/>
        </w:rPr>
        <w:t>)</w:t>
      </w:r>
    </w:p>
    <w:p w14:paraId="4F01BF09" w14:textId="77777777" w:rsidR="00301EB6" w:rsidRPr="0073616F" w:rsidRDefault="00301EB6" w:rsidP="00301EB6">
      <w:pPr>
        <w:rPr>
          <w:rFonts w:ascii="Times New Roman" w:hAnsi="Times New Roman" w:cs="Times New Roman"/>
        </w:rPr>
      </w:pPr>
      <w:r w:rsidRPr="0073616F">
        <w:rPr>
          <w:rFonts w:ascii="Times New Roman" w:hAnsi="Times New Roman" w:cs="Times New Roman"/>
        </w:rPr>
        <w:t>Article 6 -  Students must attach their foreign language competence certifications to the application form. (Foreign students do not need to obtain a language certificate.)</w:t>
      </w:r>
    </w:p>
    <w:p w14:paraId="110A9A9C" w14:textId="77777777" w:rsidR="009A7E38" w:rsidRPr="0073616F" w:rsidRDefault="00301EB6" w:rsidP="00301EB6">
      <w:pPr>
        <w:rPr>
          <w:rFonts w:ascii="Times New Roman" w:hAnsi="Times New Roman" w:cs="Times New Roman"/>
        </w:rPr>
      </w:pPr>
      <w:r w:rsidRPr="0073616F">
        <w:rPr>
          <w:rFonts w:ascii="Times New Roman" w:hAnsi="Times New Roman" w:cs="Times New Roman"/>
        </w:rPr>
        <w:t>Article 7- The PhD qualifying test is divided into two parts: writing and oral. Written and oral exams are scored out of 100 points. The student who receives at least 70 points on the written exam is advanced to the oral exam.</w:t>
      </w:r>
    </w:p>
    <w:p w14:paraId="5EDA058C" w14:textId="056DA861" w:rsidR="0071677E" w:rsidRPr="0073616F" w:rsidRDefault="0071677E" w:rsidP="0071677E">
      <w:pPr>
        <w:rPr>
          <w:rFonts w:ascii="Times New Roman" w:hAnsi="Times New Roman" w:cs="Times New Roman"/>
        </w:rPr>
      </w:pPr>
      <w:r w:rsidRPr="0073616F">
        <w:rPr>
          <w:rFonts w:ascii="Times New Roman" w:hAnsi="Times New Roman" w:cs="Times New Roman"/>
        </w:rPr>
        <w:t xml:space="preserve">Article 8- The doctorate </w:t>
      </w:r>
      <w:r w:rsidR="006C56E5" w:rsidRPr="0073616F">
        <w:rPr>
          <w:rFonts w:ascii="Times New Roman" w:hAnsi="Times New Roman" w:cs="Times New Roman"/>
        </w:rPr>
        <w:t>qualifying</w:t>
      </w:r>
      <w:r w:rsidRPr="0073616F">
        <w:rPr>
          <w:rFonts w:ascii="Times New Roman" w:hAnsi="Times New Roman" w:cs="Times New Roman"/>
        </w:rPr>
        <w:t xml:space="preserve"> committee will select the jury members.</w:t>
      </w:r>
    </w:p>
    <w:p w14:paraId="6D13B282" w14:textId="0FC17F08" w:rsidR="0071677E" w:rsidRPr="0073616F" w:rsidRDefault="0071677E" w:rsidP="0071677E">
      <w:pPr>
        <w:rPr>
          <w:rFonts w:ascii="Times New Roman" w:hAnsi="Times New Roman" w:cs="Times New Roman"/>
        </w:rPr>
      </w:pPr>
      <w:r w:rsidRPr="0073616F">
        <w:rPr>
          <w:rFonts w:ascii="Times New Roman" w:hAnsi="Times New Roman" w:cs="Times New Roman"/>
        </w:rPr>
        <w:t xml:space="preserve">Article 9-  The PhD </w:t>
      </w:r>
      <w:r w:rsidR="006C56E5" w:rsidRPr="0073616F">
        <w:rPr>
          <w:rFonts w:ascii="Times New Roman" w:hAnsi="Times New Roman" w:cs="Times New Roman"/>
        </w:rPr>
        <w:t>qualifying</w:t>
      </w:r>
      <w:r w:rsidRPr="0073616F">
        <w:rPr>
          <w:rFonts w:ascii="Times New Roman" w:hAnsi="Times New Roman" w:cs="Times New Roman"/>
        </w:rPr>
        <w:t xml:space="preserve"> exam appointment form will be signed solely by the </w:t>
      </w:r>
      <w:r w:rsidR="006C56E5" w:rsidRPr="0073616F">
        <w:rPr>
          <w:rFonts w:ascii="Times New Roman" w:hAnsi="Times New Roman" w:cs="Times New Roman"/>
        </w:rPr>
        <w:t>qualifying</w:t>
      </w:r>
      <w:r w:rsidRPr="0073616F">
        <w:rPr>
          <w:rFonts w:ascii="Times New Roman" w:hAnsi="Times New Roman" w:cs="Times New Roman"/>
        </w:rPr>
        <w:t xml:space="preserve"> committee.</w:t>
      </w:r>
    </w:p>
    <w:p w14:paraId="27B41F96" w14:textId="2AEDB40C" w:rsidR="0071677E" w:rsidRPr="0073616F" w:rsidRDefault="0071677E" w:rsidP="0071677E">
      <w:pPr>
        <w:rPr>
          <w:rFonts w:ascii="Times New Roman" w:hAnsi="Times New Roman" w:cs="Times New Roman"/>
        </w:rPr>
      </w:pPr>
      <w:r w:rsidRPr="0073616F">
        <w:rPr>
          <w:rFonts w:ascii="Times New Roman" w:hAnsi="Times New Roman" w:cs="Times New Roman"/>
        </w:rPr>
        <w:t>Article 10-  According to paragraph (8) of Article 29 of the AYBU postgraduate education regulation, exam results shall be submitted to our Institute with a report within three (three) days.</w:t>
      </w:r>
    </w:p>
    <w:p w14:paraId="6BBF9161" w14:textId="15ED2047" w:rsidR="0073616F" w:rsidRPr="0073616F" w:rsidRDefault="0073616F" w:rsidP="0073616F">
      <w:pPr>
        <w:spacing w:after="0" w:line="240" w:lineRule="auto"/>
        <w:rPr>
          <w:rFonts w:ascii="Times New Roman" w:eastAsia="Times New Roman" w:hAnsi="Times New Roman" w:cs="Times New Roman"/>
          <w:lang w:eastAsia="tr-TR"/>
        </w:rPr>
      </w:pPr>
      <w:r w:rsidRPr="0073616F">
        <w:rPr>
          <w:rFonts w:ascii="Times New Roman" w:eastAsia="Times New Roman" w:hAnsi="Times New Roman" w:cs="Times New Roman"/>
          <w:lang w:eastAsia="tr-TR"/>
        </w:rPr>
        <w:t xml:space="preserve">Article 11 - Students will be required to take exams in five major fields of MIS as outlined in Table 1. There will be ten questions for each field. Students will choose one for each. </w:t>
      </w:r>
    </w:p>
    <w:p w14:paraId="3CC6E0C5" w14:textId="40FA2D05" w:rsidR="0073616F" w:rsidRDefault="0073616F" w:rsidP="0073616F">
      <w:pPr>
        <w:spacing w:after="0" w:line="240" w:lineRule="auto"/>
        <w:rPr>
          <w:rFonts w:ascii="Times New Roman" w:eastAsia="Times New Roman" w:hAnsi="Times New Roman" w:cs="Times New Roman"/>
          <w:lang w:eastAsia="tr-TR"/>
        </w:rPr>
      </w:pPr>
      <w:r w:rsidRPr="0073616F">
        <w:rPr>
          <w:rFonts w:ascii="Times New Roman" w:eastAsia="Times New Roman" w:hAnsi="Times New Roman" w:cs="Times New Roman"/>
          <w:lang w:eastAsia="tr-TR"/>
        </w:rPr>
        <w:br/>
        <w:t>Article 12 - Students</w:t>
      </w:r>
      <w:r>
        <w:rPr>
          <w:rFonts w:ascii="Times New Roman" w:eastAsia="Times New Roman" w:hAnsi="Times New Roman" w:cs="Times New Roman"/>
          <w:lang w:eastAsia="tr-TR"/>
        </w:rPr>
        <w:t xml:space="preserve"> should read the recommended publications</w:t>
      </w:r>
      <w:r w:rsidRPr="0073616F">
        <w:rPr>
          <w:rFonts w:ascii="Times New Roman" w:eastAsia="Times New Roman" w:hAnsi="Times New Roman" w:cs="Times New Roman"/>
          <w:lang w:eastAsia="tr-TR"/>
        </w:rPr>
        <w:t xml:space="preserve"> for each field before taking the exam. </w:t>
      </w:r>
    </w:p>
    <w:p w14:paraId="589DEE02" w14:textId="77777777" w:rsidR="00D77AE6" w:rsidRDefault="00D77AE6" w:rsidP="0073616F">
      <w:pPr>
        <w:spacing w:after="0" w:line="240" w:lineRule="auto"/>
        <w:rPr>
          <w:rFonts w:ascii="Times New Roman" w:eastAsia="Times New Roman" w:hAnsi="Times New Roman" w:cs="Times New Roman"/>
          <w:lang w:eastAsia="tr-TR"/>
        </w:rPr>
      </w:pPr>
    </w:p>
    <w:p w14:paraId="6F65C993" w14:textId="27108CE6" w:rsidR="00D77AE6" w:rsidRPr="0073616F" w:rsidRDefault="00D77AE6" w:rsidP="0073616F">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Article 13- Students have to make seminar presentation before takming the exam.</w:t>
      </w:r>
    </w:p>
    <w:p w14:paraId="7C20E8A1" w14:textId="4CFECC36" w:rsidR="0073616F" w:rsidRDefault="0073616F" w:rsidP="0071677E">
      <w:pPr>
        <w:rPr>
          <w:rFonts w:ascii="Times New Roman" w:hAnsi="Times New Roman" w:cs="Times New Roman"/>
        </w:rPr>
      </w:pPr>
    </w:p>
    <w:p w14:paraId="65ED0B0E" w14:textId="51CE1750" w:rsidR="00886DBA" w:rsidRDefault="00886DBA" w:rsidP="0071677E">
      <w:pPr>
        <w:rPr>
          <w:rFonts w:ascii="Times New Roman" w:hAnsi="Times New Roman" w:cs="Times New Roman"/>
        </w:rPr>
      </w:pPr>
    </w:p>
    <w:p w14:paraId="6A61423C" w14:textId="3036E066" w:rsidR="00886DBA" w:rsidRDefault="00886DBA" w:rsidP="0071677E">
      <w:pPr>
        <w:rPr>
          <w:rFonts w:ascii="Times New Roman" w:hAnsi="Times New Roman" w:cs="Times New Roman"/>
        </w:rPr>
      </w:pPr>
    </w:p>
    <w:p w14:paraId="444B7269" w14:textId="1D70F951" w:rsidR="00886DBA" w:rsidRDefault="00886DBA" w:rsidP="0071677E">
      <w:pPr>
        <w:rPr>
          <w:rFonts w:ascii="Times New Roman" w:hAnsi="Times New Roman" w:cs="Times New Roman"/>
        </w:rPr>
      </w:pPr>
    </w:p>
    <w:p w14:paraId="121963BB" w14:textId="7313C576" w:rsidR="00886DBA" w:rsidRDefault="00886DBA" w:rsidP="0071677E">
      <w:pPr>
        <w:rPr>
          <w:rFonts w:ascii="Times New Roman" w:hAnsi="Times New Roman" w:cs="Times New Roman"/>
        </w:rPr>
      </w:pPr>
    </w:p>
    <w:p w14:paraId="588B397A" w14:textId="77777777" w:rsidR="00886DBA" w:rsidRPr="0073616F" w:rsidRDefault="00886DBA" w:rsidP="0071677E">
      <w:pPr>
        <w:rPr>
          <w:rFonts w:ascii="Times New Roman" w:hAnsi="Times New Roman" w:cs="Times New Roman"/>
        </w:rPr>
      </w:pPr>
    </w:p>
    <w:p w14:paraId="62F7EB2E" w14:textId="52B5E688" w:rsidR="00F26FA9" w:rsidRPr="0073616F" w:rsidRDefault="00F26FA9" w:rsidP="00DF4677">
      <w:pPr>
        <w:rPr>
          <w:rFonts w:ascii="Times New Roman" w:hAnsi="Times New Roman" w:cs="Times New Roman"/>
        </w:rPr>
      </w:pPr>
    </w:p>
    <w:p w14:paraId="2759C833" w14:textId="6A63FA0A" w:rsidR="000E4BDE" w:rsidRPr="0073616F" w:rsidRDefault="00D77AE6" w:rsidP="00DF4677">
      <w:pPr>
        <w:rPr>
          <w:rFonts w:ascii="Times New Roman" w:hAnsi="Times New Roman" w:cs="Times New Roman"/>
        </w:rPr>
      </w:pPr>
      <w:r>
        <w:rPr>
          <w:rFonts w:ascii="Times New Roman" w:hAnsi="Times New Roman" w:cs="Times New Roman"/>
        </w:rPr>
        <w:t>Table 1</w:t>
      </w:r>
      <w:r w:rsidR="004B5E32" w:rsidRPr="0073616F">
        <w:rPr>
          <w:rFonts w:ascii="Times New Roman" w:hAnsi="Times New Roman" w:cs="Times New Roman"/>
        </w:rPr>
        <w:t xml:space="preserve">. </w:t>
      </w:r>
      <w:r w:rsidR="00986C08" w:rsidRPr="0073616F">
        <w:rPr>
          <w:rFonts w:ascii="Times New Roman" w:hAnsi="Times New Roman" w:cs="Times New Roman"/>
        </w:rPr>
        <w:t>Recommended Reading List</w:t>
      </w:r>
    </w:p>
    <w:tbl>
      <w:tblPr>
        <w:tblStyle w:val="TabloKlavuzu"/>
        <w:tblW w:w="0" w:type="auto"/>
        <w:tblLook w:val="04A0" w:firstRow="1" w:lastRow="0" w:firstColumn="1" w:lastColumn="0" w:noHBand="0" w:noVBand="1"/>
      </w:tblPr>
      <w:tblGrid>
        <w:gridCol w:w="1754"/>
        <w:gridCol w:w="7308"/>
      </w:tblGrid>
      <w:tr w:rsidR="00D52F5C" w:rsidRPr="00D52F5C" w14:paraId="300497CD" w14:textId="77777777" w:rsidTr="0054002D">
        <w:trPr>
          <w:trHeight w:val="300"/>
        </w:trPr>
        <w:tc>
          <w:tcPr>
            <w:tcW w:w="1754" w:type="dxa"/>
            <w:noWrap/>
            <w:hideMark/>
          </w:tcPr>
          <w:p w14:paraId="2B20238D" w14:textId="35C8374C" w:rsidR="00D52F5C" w:rsidRPr="00D52F5C" w:rsidRDefault="003748F3" w:rsidP="00D52F5C">
            <w:pPr>
              <w:rPr>
                <w:rFonts w:ascii="Times New Roman" w:hAnsi="Times New Roman" w:cs="Times New Roman"/>
              </w:rPr>
            </w:pPr>
            <w:r w:rsidRPr="0073616F">
              <w:rPr>
                <w:rFonts w:ascii="Times New Roman" w:hAnsi="Times New Roman" w:cs="Times New Roman"/>
              </w:rPr>
              <w:t>Main fields</w:t>
            </w:r>
          </w:p>
        </w:tc>
        <w:tc>
          <w:tcPr>
            <w:tcW w:w="7308" w:type="dxa"/>
            <w:noWrap/>
            <w:hideMark/>
          </w:tcPr>
          <w:p w14:paraId="0B009298"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Reading List</w:t>
            </w:r>
          </w:p>
        </w:tc>
      </w:tr>
      <w:tr w:rsidR="00D52F5C" w:rsidRPr="00D52F5C" w14:paraId="5EDEC91C" w14:textId="77777777" w:rsidTr="0054002D">
        <w:trPr>
          <w:trHeight w:val="300"/>
        </w:trPr>
        <w:tc>
          <w:tcPr>
            <w:tcW w:w="1754" w:type="dxa"/>
            <w:noWrap/>
          </w:tcPr>
          <w:p w14:paraId="3B40715C"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Research Methods</w:t>
            </w:r>
          </w:p>
        </w:tc>
        <w:tc>
          <w:tcPr>
            <w:tcW w:w="7308" w:type="dxa"/>
            <w:noWrap/>
          </w:tcPr>
          <w:p w14:paraId="3249A0C0"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Introduction to Research Methods: A Practical Guide for Anyone Undertaking a Research Project, Catherine Dawson, 2009</w:t>
            </w:r>
          </w:p>
          <w:p w14:paraId="4DA8C6C8"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Lawrence Neuman, W. (2014). Social research methods: Qualitative and quantitative approaches.</w:t>
            </w:r>
          </w:p>
        </w:tc>
      </w:tr>
      <w:tr w:rsidR="00D52F5C" w:rsidRPr="00D52F5C" w14:paraId="55783186" w14:textId="77777777" w:rsidTr="0054002D">
        <w:trPr>
          <w:trHeight w:val="300"/>
        </w:trPr>
        <w:tc>
          <w:tcPr>
            <w:tcW w:w="1754" w:type="dxa"/>
            <w:noWrap/>
            <w:hideMark/>
          </w:tcPr>
          <w:p w14:paraId="23D62AF0"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Knowledge, Technology, and Innovation Management</w:t>
            </w:r>
          </w:p>
        </w:tc>
        <w:tc>
          <w:tcPr>
            <w:tcW w:w="7308" w:type="dxa"/>
            <w:noWrap/>
            <w:hideMark/>
          </w:tcPr>
          <w:p w14:paraId="6A3A0503" w14:textId="77777777" w:rsidR="00D52F5C" w:rsidRPr="00D52F5C" w:rsidRDefault="00D52F5C" w:rsidP="00D52F5C">
            <w:pPr>
              <w:rPr>
                <w:rFonts w:ascii="Times New Roman" w:hAnsi="Times New Roman" w:cs="Times New Roman"/>
                <w:color w:val="222222"/>
                <w:shd w:val="clear" w:color="auto" w:fill="FFFFFF"/>
              </w:rPr>
            </w:pPr>
            <w:r w:rsidRPr="00D52F5C">
              <w:rPr>
                <w:rFonts w:ascii="Times New Roman" w:hAnsi="Times New Roman" w:cs="Times New Roman"/>
                <w:color w:val="222222"/>
                <w:shd w:val="clear" w:color="auto" w:fill="FFFFFF"/>
              </w:rPr>
              <w:t>Tidd J., Bessant J., "Managing Innovation", (2013), Wiley Press, 5 th ed.,</w:t>
            </w:r>
          </w:p>
          <w:p w14:paraId="2437B201" w14:textId="79710075" w:rsidR="0051228D" w:rsidRPr="0073616F" w:rsidRDefault="00D52F5C" w:rsidP="00D52F5C">
            <w:pPr>
              <w:rPr>
                <w:rFonts w:ascii="Times New Roman" w:hAnsi="Times New Roman" w:cs="Times New Roman"/>
                <w:color w:val="222222"/>
                <w:shd w:val="clear" w:color="auto" w:fill="FFFFFF"/>
              </w:rPr>
            </w:pPr>
            <w:r w:rsidRPr="00D52F5C">
              <w:rPr>
                <w:rFonts w:ascii="Times New Roman" w:hAnsi="Times New Roman" w:cs="Times New Roman"/>
                <w:color w:val="222222"/>
                <w:shd w:val="clear" w:color="auto" w:fill="FFFFFF"/>
              </w:rPr>
              <w:t>United Kingdom</w:t>
            </w:r>
          </w:p>
          <w:p w14:paraId="7F2B7452" w14:textId="412D420E" w:rsidR="0051228D" w:rsidRPr="00D52F5C" w:rsidRDefault="0051228D" w:rsidP="00D52F5C">
            <w:pPr>
              <w:rPr>
                <w:rFonts w:ascii="Times New Roman" w:hAnsi="Times New Roman" w:cs="Times New Roman"/>
                <w:color w:val="222222"/>
                <w:shd w:val="clear" w:color="auto" w:fill="FFFFFF"/>
              </w:rPr>
            </w:pPr>
            <w:r w:rsidRPr="0073616F">
              <w:rPr>
                <w:rFonts w:ascii="Times New Roman" w:hAnsi="Times New Roman" w:cs="Times New Roman"/>
                <w:color w:val="222222"/>
                <w:shd w:val="clear" w:color="auto" w:fill="FFFFFF"/>
              </w:rPr>
              <w:t>Schilling, M. A. (2017). </w:t>
            </w:r>
            <w:r w:rsidRPr="0073616F">
              <w:rPr>
                <w:rFonts w:ascii="Times New Roman" w:hAnsi="Times New Roman" w:cs="Times New Roman"/>
                <w:i/>
                <w:iCs/>
                <w:color w:val="222222"/>
                <w:shd w:val="clear" w:color="auto" w:fill="FFFFFF"/>
              </w:rPr>
              <w:t>Strategic management of technological innovation</w:t>
            </w:r>
            <w:r w:rsidRPr="0073616F">
              <w:rPr>
                <w:rFonts w:ascii="Times New Roman" w:hAnsi="Times New Roman" w:cs="Times New Roman"/>
                <w:color w:val="222222"/>
                <w:shd w:val="clear" w:color="auto" w:fill="FFFFFF"/>
              </w:rPr>
              <w:t>. McGraw-Hill.</w:t>
            </w:r>
          </w:p>
          <w:p w14:paraId="62337CD1" w14:textId="300E00F3" w:rsidR="00D52F5C" w:rsidRPr="00D52F5C" w:rsidRDefault="00D52F5C" w:rsidP="00D52F5C">
            <w:pPr>
              <w:rPr>
                <w:rFonts w:ascii="Times New Roman" w:hAnsi="Times New Roman" w:cs="Times New Roman"/>
                <w:color w:val="222222"/>
                <w:shd w:val="clear" w:color="auto" w:fill="FFFFFF"/>
              </w:rPr>
            </w:pPr>
            <w:r w:rsidRPr="00D52F5C">
              <w:rPr>
                <w:rFonts w:ascii="Times New Roman" w:hAnsi="Times New Roman" w:cs="Times New Roman"/>
                <w:color w:val="222222"/>
                <w:shd w:val="clear" w:color="auto" w:fill="FFFFFF"/>
              </w:rPr>
              <w:t>Bolisani, E., &amp; Handzic, M. (Eds.). (2014). </w:t>
            </w:r>
            <w:r w:rsidRPr="00D52F5C">
              <w:rPr>
                <w:rFonts w:ascii="Times New Roman" w:hAnsi="Times New Roman" w:cs="Times New Roman"/>
                <w:i/>
                <w:iCs/>
                <w:color w:val="222222"/>
                <w:shd w:val="clear" w:color="auto" w:fill="FFFFFF"/>
              </w:rPr>
              <w:t>Advances in knowledge management: celebrating twenty years of research and practice</w:t>
            </w:r>
            <w:r w:rsidRPr="00D52F5C">
              <w:rPr>
                <w:rFonts w:ascii="Times New Roman" w:hAnsi="Times New Roman" w:cs="Times New Roman"/>
                <w:color w:val="222222"/>
                <w:shd w:val="clear" w:color="auto" w:fill="FFFFFF"/>
              </w:rPr>
              <w:t> (Vol. 1). Springer.</w:t>
            </w:r>
          </w:p>
          <w:p w14:paraId="6C485668"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Farooq, R. (2024). A review of knowledge management research in the past three decades: a bibliometric analysis. VINE Journal of Information and Knowledge Management Systems, 54(2), 339-378.</w:t>
            </w:r>
          </w:p>
          <w:p w14:paraId="2E27D6FB"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Durst, S., Foli, S., &amp; Edvardsson, I. R. (2024). A systematic literature review on knowledge management in SMEs: current trends and future directions. Management Review Quarterly, 74(1), 263-288.</w:t>
            </w:r>
          </w:p>
          <w:p w14:paraId="4AA2753B" w14:textId="131856C7" w:rsidR="00D52F5C" w:rsidRPr="00D52F5C" w:rsidRDefault="004D5777" w:rsidP="004D5777">
            <w:pPr>
              <w:rPr>
                <w:rFonts w:ascii="Times New Roman" w:hAnsi="Times New Roman" w:cs="Times New Roman"/>
              </w:rPr>
            </w:pPr>
            <w:r w:rsidRPr="0073616F">
              <w:rPr>
                <w:rFonts w:ascii="Times New Roman" w:hAnsi="Times New Roman" w:cs="Times New Roman"/>
              </w:rPr>
              <w:t>Nonaka, I., &amp; Takeuchi, H. (2007). The knowledge-creating company. Harvard business review, 85(7/8), 162.</w:t>
            </w:r>
          </w:p>
        </w:tc>
      </w:tr>
      <w:tr w:rsidR="00D52F5C" w:rsidRPr="00D52F5C" w14:paraId="41E3B0F0" w14:textId="77777777" w:rsidTr="0054002D">
        <w:trPr>
          <w:trHeight w:val="300"/>
        </w:trPr>
        <w:tc>
          <w:tcPr>
            <w:tcW w:w="1754" w:type="dxa"/>
            <w:noWrap/>
            <w:hideMark/>
          </w:tcPr>
          <w:p w14:paraId="7F10BA64"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Information Systems</w:t>
            </w:r>
          </w:p>
        </w:tc>
        <w:tc>
          <w:tcPr>
            <w:tcW w:w="7308" w:type="dxa"/>
            <w:noWrap/>
            <w:hideMark/>
          </w:tcPr>
          <w:p w14:paraId="3FCB90EE"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Laudon, K. C., &amp; Laudon, J. P. (2004). Management information systems: Managing the digital firm. Pearson Education.</w:t>
            </w:r>
          </w:p>
          <w:p w14:paraId="7F83C503" w14:textId="1C7DC3CB" w:rsidR="00D52F5C" w:rsidRPr="00D52F5C" w:rsidRDefault="00D52F5C" w:rsidP="00D52F5C">
            <w:pPr>
              <w:rPr>
                <w:rFonts w:ascii="Times New Roman" w:hAnsi="Times New Roman" w:cs="Times New Roman"/>
              </w:rPr>
            </w:pPr>
            <w:r w:rsidRPr="00D52F5C">
              <w:rPr>
                <w:rFonts w:ascii="Times New Roman" w:hAnsi="Times New Roman" w:cs="Times New Roman"/>
              </w:rPr>
              <w:t>C How To Program, Deitel P, Deitel H, Pearson. Muhammet&amp; Seher Yorulmaz (2020) Programlamayı C ile Öğreniyorum, Palme Yayıncılık. H</w:t>
            </w:r>
            <w:r w:rsidR="00177556" w:rsidRPr="0073616F">
              <w:rPr>
                <w:rFonts w:ascii="Times New Roman" w:hAnsi="Times New Roman" w:cs="Times New Roman"/>
              </w:rPr>
              <w:t xml:space="preserve">.M.Deitel and P.J.Deitel (2017). </w:t>
            </w:r>
            <w:r w:rsidRPr="00D52F5C">
              <w:rPr>
                <w:rFonts w:ascii="Times New Roman" w:hAnsi="Times New Roman" w:cs="Times New Roman"/>
              </w:rPr>
              <w:t xml:space="preserve">C How to Program, Pearson. </w:t>
            </w:r>
          </w:p>
          <w:p w14:paraId="7D29FA06"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M. Sprankle (2015) Problem Solving and Programming Concept, Pearson Education</w:t>
            </w:r>
          </w:p>
          <w:p w14:paraId="4E69B4C9" w14:textId="266D42FD" w:rsidR="00D52F5C" w:rsidRPr="00D52F5C" w:rsidRDefault="00D52F5C" w:rsidP="00D52F5C">
            <w:pPr>
              <w:rPr>
                <w:rFonts w:ascii="Times New Roman" w:hAnsi="Times New Roman" w:cs="Times New Roman"/>
              </w:rPr>
            </w:pPr>
            <w:r w:rsidRPr="0073616F">
              <w:rPr>
                <w:rFonts w:ascii="Times New Roman" w:hAnsi="Times New Roman" w:cs="Times New Roman"/>
                <w:color w:val="222222"/>
                <w:shd w:val="clear" w:color="auto" w:fill="FFFFFF"/>
              </w:rPr>
              <w:t>Deitel, P. J., &amp; Deitel, H. M. (2009). </w:t>
            </w:r>
            <w:r w:rsidRPr="0073616F">
              <w:rPr>
                <w:rFonts w:ascii="Times New Roman" w:hAnsi="Times New Roman" w:cs="Times New Roman"/>
                <w:i/>
                <w:iCs/>
                <w:color w:val="222222"/>
                <w:shd w:val="clear" w:color="auto" w:fill="FFFFFF"/>
              </w:rPr>
              <w:t>Java for programmers</w:t>
            </w:r>
            <w:r w:rsidRPr="0073616F">
              <w:rPr>
                <w:rFonts w:ascii="Times New Roman" w:hAnsi="Times New Roman" w:cs="Times New Roman"/>
                <w:color w:val="222222"/>
                <w:shd w:val="clear" w:color="auto" w:fill="FFFFFF"/>
              </w:rPr>
              <w:t>. Pearson education.</w:t>
            </w:r>
          </w:p>
          <w:p w14:paraId="48495F8E"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S. Haykin, Neural Networks and Learning Machines, Pearson Education, 3rd Ed., 2009</w:t>
            </w:r>
          </w:p>
        </w:tc>
      </w:tr>
      <w:tr w:rsidR="00D52F5C" w:rsidRPr="00D52F5C" w14:paraId="29640009" w14:textId="77777777" w:rsidTr="0054002D">
        <w:trPr>
          <w:trHeight w:val="300"/>
        </w:trPr>
        <w:tc>
          <w:tcPr>
            <w:tcW w:w="1754" w:type="dxa"/>
            <w:noWrap/>
            <w:hideMark/>
          </w:tcPr>
          <w:p w14:paraId="0FB7B94C"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Data Science and Analytics</w:t>
            </w:r>
          </w:p>
        </w:tc>
        <w:tc>
          <w:tcPr>
            <w:tcW w:w="7308" w:type="dxa"/>
            <w:noWrap/>
            <w:hideMark/>
          </w:tcPr>
          <w:p w14:paraId="164C4292" w14:textId="77777777" w:rsidR="00D52F5C" w:rsidRPr="00D52F5C" w:rsidRDefault="00D52F5C" w:rsidP="00D52F5C">
            <w:pPr>
              <w:rPr>
                <w:rFonts w:ascii="Times New Roman" w:hAnsi="Times New Roman" w:cs="Times New Roman"/>
              </w:rPr>
            </w:pPr>
            <w:r w:rsidRPr="00D52F5C">
              <w:rPr>
                <w:rFonts w:ascii="Times New Roman" w:hAnsi="Times New Roman" w:cs="Times New Roman"/>
              </w:rPr>
              <w:t>Hair, J.F., Black, W.C., Babin, B.J., Anderson, R.E., and Tatham, R. (2013). Multivariate Data Analysis (6th edition), Pearson Prentice Hall.</w:t>
            </w:r>
          </w:p>
          <w:p w14:paraId="3C09587D" w14:textId="77777777" w:rsidR="00D52F5C" w:rsidRDefault="00D52F5C" w:rsidP="00D52F5C">
            <w:pPr>
              <w:rPr>
                <w:rFonts w:ascii="Times New Roman" w:hAnsi="Times New Roman" w:cs="Times New Roman"/>
              </w:rPr>
            </w:pPr>
            <w:r w:rsidRPr="00D52F5C">
              <w:rPr>
                <w:rFonts w:ascii="Times New Roman" w:hAnsi="Times New Roman" w:cs="Times New Roman"/>
              </w:rPr>
              <w:t>Tabachnick, B.G., Fidell, L.S. (2012). Using multivariate statistics, (6th edition). Boston: Allyn and Bacon.</w:t>
            </w:r>
          </w:p>
          <w:p w14:paraId="3285B4CC" w14:textId="2684007C" w:rsidR="00D77AE6" w:rsidRPr="00D77AE6" w:rsidRDefault="00D77AE6" w:rsidP="00D77AE6">
            <w:pPr>
              <w:rPr>
                <w:rFonts w:ascii="Times New Roman" w:hAnsi="Times New Roman" w:cs="Times New Roman"/>
              </w:rPr>
            </w:pPr>
            <w:r w:rsidRPr="00D77AE6">
              <w:rPr>
                <w:rFonts w:ascii="Times New Roman" w:hAnsi="Times New Roman" w:cs="Times New Roman"/>
              </w:rPr>
              <w:t>Babbie, E. (2010). The Practice of Social Research. Wadsworth, Cengage Learning.</w:t>
            </w:r>
          </w:p>
          <w:p w14:paraId="06A2AA18" w14:textId="5366EC22" w:rsidR="00D77AE6" w:rsidRPr="00D52F5C" w:rsidRDefault="00D77AE6" w:rsidP="00D77AE6">
            <w:pPr>
              <w:rPr>
                <w:rFonts w:ascii="Times New Roman" w:hAnsi="Times New Roman" w:cs="Times New Roman"/>
              </w:rPr>
            </w:pPr>
            <w:bookmarkStart w:id="0" w:name="_GoBack"/>
            <w:bookmarkEnd w:id="0"/>
            <w:r w:rsidRPr="00D77AE6">
              <w:rPr>
                <w:rFonts w:ascii="Times New Roman" w:hAnsi="Times New Roman" w:cs="Times New Roman"/>
              </w:rPr>
              <w:t>Huck, W. S. (2012). Reading Statistics and Research. Pearson.</w:t>
            </w:r>
          </w:p>
        </w:tc>
      </w:tr>
    </w:tbl>
    <w:p w14:paraId="01D51C55" w14:textId="67AC94EF" w:rsidR="007B6184" w:rsidRPr="0073616F" w:rsidRDefault="007B6184" w:rsidP="00DF4677">
      <w:pPr>
        <w:rPr>
          <w:rFonts w:ascii="Times New Roman" w:hAnsi="Times New Roman" w:cs="Times New Roman"/>
        </w:rPr>
      </w:pPr>
    </w:p>
    <w:p w14:paraId="62DA8D89" w14:textId="77777777" w:rsidR="007B6184" w:rsidRPr="0073616F" w:rsidRDefault="007B6184" w:rsidP="00DF4677">
      <w:pPr>
        <w:rPr>
          <w:rFonts w:ascii="Times New Roman" w:hAnsi="Times New Roman" w:cs="Times New Roman"/>
        </w:rPr>
      </w:pPr>
    </w:p>
    <w:sectPr w:rsidR="007B6184" w:rsidRPr="00736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77"/>
    <w:rsid w:val="000E4BDE"/>
    <w:rsid w:val="00177556"/>
    <w:rsid w:val="00266D3F"/>
    <w:rsid w:val="00301EB6"/>
    <w:rsid w:val="00351BD5"/>
    <w:rsid w:val="003748F3"/>
    <w:rsid w:val="004209A9"/>
    <w:rsid w:val="00490335"/>
    <w:rsid w:val="004A000F"/>
    <w:rsid w:val="004B5E32"/>
    <w:rsid w:val="004D5777"/>
    <w:rsid w:val="0051228D"/>
    <w:rsid w:val="005545CD"/>
    <w:rsid w:val="005B0F50"/>
    <w:rsid w:val="005C075E"/>
    <w:rsid w:val="005F00CB"/>
    <w:rsid w:val="005F3B64"/>
    <w:rsid w:val="006C56E5"/>
    <w:rsid w:val="0071677E"/>
    <w:rsid w:val="0073616F"/>
    <w:rsid w:val="007B6184"/>
    <w:rsid w:val="00857622"/>
    <w:rsid w:val="00864F89"/>
    <w:rsid w:val="00886DBA"/>
    <w:rsid w:val="00895C63"/>
    <w:rsid w:val="008A7C35"/>
    <w:rsid w:val="008C6D8A"/>
    <w:rsid w:val="009467E8"/>
    <w:rsid w:val="00986C08"/>
    <w:rsid w:val="009A7E38"/>
    <w:rsid w:val="00A65CD8"/>
    <w:rsid w:val="00AF3E61"/>
    <w:rsid w:val="00C118DD"/>
    <w:rsid w:val="00C353F1"/>
    <w:rsid w:val="00CB073F"/>
    <w:rsid w:val="00D14C18"/>
    <w:rsid w:val="00D52F5C"/>
    <w:rsid w:val="00D77AE6"/>
    <w:rsid w:val="00DF4677"/>
    <w:rsid w:val="00ED1F01"/>
    <w:rsid w:val="00F26FA9"/>
    <w:rsid w:val="00F75DEB"/>
    <w:rsid w:val="00FB7043"/>
    <w:rsid w:val="00FF17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4330"/>
  <w15:chartTrackingRefBased/>
  <w15:docId w15:val="{479F6C6D-1E95-48F3-A222-DB4B9D6C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A7E38"/>
    <w:rPr>
      <w:color w:val="0563C1" w:themeColor="hyperlink"/>
      <w:u w:val="single"/>
    </w:rPr>
  </w:style>
  <w:style w:type="table" w:styleId="TabloKlavuzu">
    <w:name w:val="Table Grid"/>
    <w:basedOn w:val="NormalTablo"/>
    <w:uiPriority w:val="39"/>
    <w:rsid w:val="0055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545CD"/>
    <w:rPr>
      <w:sz w:val="16"/>
      <w:szCs w:val="16"/>
    </w:rPr>
  </w:style>
  <w:style w:type="paragraph" w:styleId="AklamaMetni">
    <w:name w:val="annotation text"/>
    <w:basedOn w:val="Normal"/>
    <w:link w:val="AklamaMetniChar"/>
    <w:uiPriority w:val="99"/>
    <w:semiHidden/>
    <w:unhideWhenUsed/>
    <w:rsid w:val="005545C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545CD"/>
    <w:rPr>
      <w:sz w:val="20"/>
      <w:szCs w:val="20"/>
    </w:rPr>
  </w:style>
  <w:style w:type="paragraph" w:styleId="BalonMetni">
    <w:name w:val="Balloon Text"/>
    <w:basedOn w:val="Normal"/>
    <w:link w:val="BalonMetniChar"/>
    <w:uiPriority w:val="99"/>
    <w:semiHidden/>
    <w:unhideWhenUsed/>
    <w:rsid w:val="005545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4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vzuatNo=21510&amp;MevzuatTur=7&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3</cp:revision>
  <dcterms:created xsi:type="dcterms:W3CDTF">2024-09-04T08:21:00Z</dcterms:created>
  <dcterms:modified xsi:type="dcterms:W3CDTF">2024-09-04T08:24:00Z</dcterms:modified>
</cp:coreProperties>
</file>