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/>
        <w:tblW w:w="154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11482"/>
      </w:tblGrid>
      <w:tr w:rsidR="00112349" w:rsidRPr="00112349" w:rsidTr="00563C0F">
        <w:trPr>
          <w:trHeight w:val="555"/>
        </w:trPr>
        <w:tc>
          <w:tcPr>
            <w:tcW w:w="3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DF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00" w:beforeAutospacing="1" w:after="100" w:afterAutospacing="1" w:line="240" w:lineRule="auto"/>
              <w:ind w:left="1275" w:right="1275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b/>
                <w:bCs/>
                <w:sz w:val="32"/>
                <w:szCs w:val="24"/>
                <w:lang w:eastAsia="tr-TR"/>
              </w:rPr>
              <w:t>Tarih</w:t>
            </w:r>
          </w:p>
        </w:tc>
        <w:tc>
          <w:tcPr>
            <w:tcW w:w="114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C5DFB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00" w:beforeAutospacing="1" w:after="100" w:afterAutospacing="1" w:line="240" w:lineRule="auto"/>
              <w:ind w:left="1275" w:right="1275"/>
              <w:jc w:val="center"/>
              <w:rPr>
                <w:rFonts w:ascii="Times New Roman" w:eastAsia="Times New Roman" w:hAnsi="Times New Roman" w:cs="Times New Roman"/>
                <w:sz w:val="32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b/>
                <w:bCs/>
                <w:sz w:val="32"/>
                <w:szCs w:val="24"/>
                <w:lang w:eastAsia="tr-TR"/>
              </w:rPr>
              <w:t>Süreç</w:t>
            </w:r>
          </w:p>
        </w:tc>
      </w:tr>
      <w:tr w:rsidR="00112349" w:rsidRPr="00112349" w:rsidTr="00563C0F">
        <w:trPr>
          <w:trHeight w:val="974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826C17" w:rsidP="00826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2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-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194CED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10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 Ocak 202</w:t>
            </w:r>
            <w:r w:rsidR="00B165C5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5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00" w:beforeAutospacing="1" w:after="100" w:afterAutospacing="1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Öğretim elemanları tarafından, kadrolarının bulunduğu birimlerin enstitü, yüksekokul, meslek yüksekokulu, uygulama ve araştırma merkez müdürlüğü </w:t>
            </w:r>
            <w:r w:rsidR="00B165C5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veya bölüm başkanlıklarına, 2024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 yılına ait akademik faaliyetlerine ilişkin olarak </w:t>
            </w:r>
            <w:proofErr w:type="spellStart"/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Y</w:t>
            </w:r>
            <w:r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Ö</w:t>
            </w:r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KSİS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’ten</w:t>
            </w:r>
            <w:proofErr w:type="spellEnd"/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 alınan çıktı ile birlikte, akademik faaliyetlerine ilişkin örnek kanıt ve belgeleri de eklenerek Akademik Teşvik Ödeneği Süreç Yönetim Sistemi (</w:t>
            </w:r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ATÖSİS) 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üzerinden başvuru yapılması.</w:t>
            </w:r>
          </w:p>
        </w:tc>
      </w:tr>
      <w:tr w:rsidR="00112349" w:rsidRPr="00112349" w:rsidTr="00563C0F">
        <w:trPr>
          <w:trHeight w:val="831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B165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</w:t>
            </w:r>
            <w:r w:rsidR="00826C17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</w:t>
            </w:r>
            <w:r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-</w:t>
            </w:r>
            <w:r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B165C5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16</w:t>
            </w:r>
            <w:r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 Ocak 202</w:t>
            </w:r>
            <w:r w:rsidR="00B165C5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5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60" w:after="100" w:afterAutospacing="1" w:line="240" w:lineRule="auto"/>
              <w:ind w:left="148" w:right="13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Öğretim elemanlarınca yapılan başvurular</w:t>
            </w:r>
            <w:r w:rsidR="00166864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ın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 her bölüm ve anabilim dalı bünyesinde kurulan Birim Akademik Teşvik Başvuru ve İnceleme Komisyonu tarafından incelenmesi işleminin tamamlanması.</w:t>
            </w:r>
          </w:p>
        </w:tc>
      </w:tr>
      <w:tr w:rsidR="00112349" w:rsidRPr="00112349" w:rsidTr="00563C0F">
        <w:trPr>
          <w:trHeight w:val="984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B165C5" w:rsidP="00826C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17</w:t>
            </w:r>
            <w:r w:rsidR="00462FA8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 Ocak 2025</w:t>
            </w:r>
            <w:bookmarkStart w:id="0" w:name="_GoBack"/>
            <w:bookmarkEnd w:id="0"/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after="0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Birim Akademik Teşvik Başvuru ve İnceleme   Komisyonunun hazırladığı karar tutanağı,   </w:t>
            </w:r>
            <w:proofErr w:type="gramStart"/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değerlendirme </w:t>
            </w:r>
            <w:r w:rsidRPr="009909B4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 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raporu</w:t>
            </w:r>
            <w:proofErr w:type="gramEnd"/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 xml:space="preserve"> ve puan tablosunun imzalı   olarak rektörlüğe bağlı bölümlerde bölüm başkanı,   fakültelerde dekan, diğer birimlerde ise müdür   tarafından onaylanmış olarak Akademik Teşvik   Düzenleme, Denetleme ve İtiraz Komisyonuna   gönderilmesi.</w:t>
            </w:r>
          </w:p>
        </w:tc>
      </w:tr>
      <w:tr w:rsidR="00112349" w:rsidRPr="00112349" w:rsidTr="00563C0F">
        <w:trPr>
          <w:trHeight w:val="687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B165C5" w:rsidP="001123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18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-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23 Ocak 2025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00" w:beforeAutospacing="1" w:after="100" w:afterAutospacing="1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Birim Akademik Teşvik Başvuru ve İnceleme Komisyonu tarafından alınan başvuru ve başvuru değerlendirme kararlarının Akademik Teşvik Düzenleme, Denetleme ve İtiraz Komisyonu tarafından incelenmesi ve nihai kararın verilmesi.</w:t>
            </w:r>
          </w:p>
        </w:tc>
      </w:tr>
      <w:tr w:rsidR="00112349" w:rsidRPr="00112349" w:rsidTr="00563C0F">
        <w:trPr>
          <w:trHeight w:val="495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B165C5" w:rsidP="00826C17">
            <w:pPr>
              <w:spacing w:before="120" w:after="100" w:afterAutospacing="1" w:line="240" w:lineRule="auto"/>
              <w:ind w:left="1275" w:right="127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24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 Ocak 202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5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00" w:beforeAutospacing="1" w:after="100" w:afterAutospacing="1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Komisyon kararlarının AT</w:t>
            </w:r>
            <w:r w:rsidRPr="009909B4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Ö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SİS üzerinden ilan edilmesi.</w:t>
            </w:r>
          </w:p>
        </w:tc>
      </w:tr>
      <w:tr w:rsidR="00112349" w:rsidRPr="00112349" w:rsidTr="00563C0F">
        <w:trPr>
          <w:trHeight w:val="467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B165C5" w:rsidP="00B165C5">
            <w:pPr>
              <w:spacing w:before="150" w:after="100" w:afterAutospacing="1" w:line="240" w:lineRule="auto"/>
              <w:ind w:left="-15" w:firstLine="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25</w:t>
            </w:r>
            <w:r w:rsidR="00342DF6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-31 Ocak 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2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025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30" w:after="100" w:afterAutospacing="1" w:line="240" w:lineRule="auto"/>
              <w:ind w:left="148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Komisyo</w:t>
            </w:r>
            <w:r w:rsidR="00B165C5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n tarafından ilan edilen kararlara başvuru sahiplerinin itiraz etme süreci.</w:t>
            </w:r>
          </w:p>
        </w:tc>
      </w:tr>
      <w:tr w:rsidR="00112349" w:rsidRPr="00112349" w:rsidTr="00563C0F">
        <w:trPr>
          <w:trHeight w:val="414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B165C5" w:rsidP="00826C17">
            <w:pPr>
              <w:spacing w:before="15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1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-</w:t>
            </w:r>
            <w:r w:rsidR="00112349" w:rsidRPr="009909B4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342DF6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6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 Şubat 202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5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5" w:after="100" w:afterAutospacing="1" w:line="240" w:lineRule="auto"/>
              <w:ind w:left="148" w:right="285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İtirazların Akademik Teşvik Düzenleme, Denetleme ve İtiraz Komisyonu tarafından değerlendirilerek kesin kararın verilmesi.</w:t>
            </w:r>
          </w:p>
        </w:tc>
      </w:tr>
      <w:tr w:rsidR="00112349" w:rsidRPr="00112349" w:rsidTr="00563C0F">
        <w:trPr>
          <w:trHeight w:val="525"/>
        </w:trPr>
        <w:tc>
          <w:tcPr>
            <w:tcW w:w="39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12349" w:rsidRPr="00112349" w:rsidRDefault="00342DF6" w:rsidP="00112349">
            <w:pPr>
              <w:spacing w:before="135" w:after="100" w:afterAutospacing="1" w:line="240" w:lineRule="auto"/>
              <w:ind w:left="1275" w:right="1275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7</w:t>
            </w:r>
            <w:r w:rsidR="00112349" w:rsidRPr="00112349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 xml:space="preserve"> </w:t>
            </w:r>
            <w:r w:rsidR="00B165C5">
              <w:rPr>
                <w:rFonts w:ascii="Calibri" w:eastAsia="Times New Roman" w:hAnsi="Calibri" w:cs="Calibri"/>
                <w:b/>
                <w:bCs/>
                <w:sz w:val="20"/>
                <w:szCs w:val="24"/>
                <w:lang w:eastAsia="tr-TR"/>
              </w:rPr>
              <w:t>Şubat 2025</w:t>
            </w:r>
          </w:p>
        </w:tc>
        <w:tc>
          <w:tcPr>
            <w:tcW w:w="114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2349" w:rsidRPr="00112349" w:rsidRDefault="00112349" w:rsidP="00112349">
            <w:pPr>
              <w:spacing w:before="15" w:after="100" w:afterAutospacing="1" w:line="240" w:lineRule="auto"/>
              <w:ind w:left="148" w:right="570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Akademik teşvik ödeneği nihai listesinin AT</w:t>
            </w:r>
            <w:r w:rsidRPr="009909B4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Ö</w:t>
            </w:r>
            <w:r w:rsidRPr="00112349">
              <w:rPr>
                <w:rFonts w:ascii="Calibri" w:eastAsia="Times New Roman" w:hAnsi="Calibri" w:cs="Calibri"/>
                <w:sz w:val="20"/>
                <w:szCs w:val="24"/>
                <w:lang w:eastAsia="tr-TR"/>
              </w:rPr>
              <w:t>SİS üzerinden ilan edilmesi.</w:t>
            </w:r>
          </w:p>
        </w:tc>
      </w:tr>
    </w:tbl>
    <w:p w:rsidR="009909B4" w:rsidRPr="00166864" w:rsidRDefault="009909B4" w:rsidP="00166864">
      <w:pPr>
        <w:tabs>
          <w:tab w:val="left" w:pos="4455"/>
        </w:tabs>
      </w:pPr>
    </w:p>
    <w:p w:rsidR="00563C0F" w:rsidRDefault="00166864" w:rsidP="00166864">
      <w:pPr>
        <w:tabs>
          <w:tab w:val="left" w:pos="3000"/>
        </w:tabs>
      </w:pPr>
      <w:r>
        <w:tab/>
      </w:r>
    </w:p>
    <w:p w:rsidR="00563C0F" w:rsidRDefault="00563C0F"/>
    <w:p w:rsidR="00563C0F" w:rsidRDefault="00563C0F"/>
    <w:p w:rsidR="00112349" w:rsidRDefault="00112349"/>
    <w:sectPr w:rsidR="00112349" w:rsidSect="00563C0F">
      <w:pgSz w:w="16838" w:h="11906" w:orient="landscape"/>
      <w:pgMar w:top="709" w:right="962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349"/>
    <w:rsid w:val="00112349"/>
    <w:rsid w:val="00166864"/>
    <w:rsid w:val="00194CED"/>
    <w:rsid w:val="00342DF6"/>
    <w:rsid w:val="00462FA8"/>
    <w:rsid w:val="00563C0F"/>
    <w:rsid w:val="007044E5"/>
    <w:rsid w:val="007864C1"/>
    <w:rsid w:val="00826C17"/>
    <w:rsid w:val="008A373C"/>
    <w:rsid w:val="009909B4"/>
    <w:rsid w:val="00B165C5"/>
    <w:rsid w:val="00C04F75"/>
    <w:rsid w:val="00E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8E87"/>
  <w15:chartTrackingRefBased/>
  <w15:docId w15:val="{EF434D3D-BE8C-4B3B-AED1-EAB34FF7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paragraph"/>
    <w:basedOn w:val="Normal"/>
    <w:rsid w:val="0011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Zahit Demir</dc:creator>
  <cp:keywords/>
  <dc:description/>
  <cp:lastModifiedBy>AYBU</cp:lastModifiedBy>
  <cp:revision>15</cp:revision>
  <cp:lastPrinted>2024-01-15T11:15:00Z</cp:lastPrinted>
  <dcterms:created xsi:type="dcterms:W3CDTF">2022-12-05T10:40:00Z</dcterms:created>
  <dcterms:modified xsi:type="dcterms:W3CDTF">2024-12-30T06:12:00Z</dcterms:modified>
</cp:coreProperties>
</file>