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954BB98" w:rsidR="00630C60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1764FE"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211BC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5B87E457" w:rsidR="00630C60" w:rsidRPr="00A07762" w:rsidRDefault="001764FE" w:rsidP="001764FE">
            <w:pPr>
              <w:pStyle w:val="TableParagraph"/>
              <w:spacing w:before="198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="00EA0355" w:rsidRPr="00A07762">
              <w:rPr>
                <w:b/>
                <w:sz w:val="20"/>
                <w:szCs w:val="20"/>
              </w:rPr>
              <w:t>DERS</w:t>
            </w:r>
            <w:r w:rsidR="00EA0355"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="00EA0355"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1764FE" w:rsidRPr="00A07762" w14:paraId="6D0BBC39" w14:textId="77777777" w:rsidTr="00657F68">
        <w:trPr>
          <w:trHeight w:val="734"/>
        </w:trPr>
        <w:tc>
          <w:tcPr>
            <w:tcW w:w="1418" w:type="dxa"/>
            <w:vAlign w:val="center"/>
          </w:tcPr>
          <w:p w14:paraId="662124F0" w14:textId="1F27395B" w:rsidR="001764FE" w:rsidRPr="00A07762" w:rsidRDefault="001764FE" w:rsidP="001764FE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43316B">
              <w:rPr>
                <w:rFonts w:ascii="Calibri" w:hAnsi="Calibri" w:cs="Arial"/>
              </w:rPr>
              <w:t>TAB121</w:t>
            </w:r>
          </w:p>
        </w:tc>
        <w:tc>
          <w:tcPr>
            <w:tcW w:w="2977" w:type="dxa"/>
          </w:tcPr>
          <w:p w14:paraId="41C4888C" w14:textId="0AB4BD6D" w:rsidR="001764FE" w:rsidRPr="00A07762" w:rsidRDefault="001764FE" w:rsidP="001764F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rFonts w:ascii="Calibri" w:hAnsi="Calibri" w:cs="Arial"/>
                <w:b/>
              </w:rPr>
              <w:t>Temel Mikrobiyoloji</w:t>
            </w:r>
          </w:p>
        </w:tc>
        <w:tc>
          <w:tcPr>
            <w:tcW w:w="1276" w:type="dxa"/>
            <w:vAlign w:val="center"/>
          </w:tcPr>
          <w:p w14:paraId="1CB4682D" w14:textId="1715B11C" w:rsidR="001764FE" w:rsidRPr="00A07762" w:rsidRDefault="001764FE" w:rsidP="001764FE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Seçmeli</w:t>
            </w:r>
          </w:p>
          <w:p w14:paraId="2EDFD95E" w14:textId="12E4DBD3" w:rsidR="001764FE" w:rsidRPr="00A07762" w:rsidRDefault="001764FE" w:rsidP="001764FE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0E18A3A" w:rsidR="001764FE" w:rsidRPr="00A07762" w:rsidRDefault="001764FE" w:rsidP="001764F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1764FE" w:rsidRPr="00A07762" w:rsidRDefault="001764FE" w:rsidP="001764FE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1764FE" w:rsidRPr="00A07762" w:rsidRDefault="001764FE" w:rsidP="001764F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764FE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1764FE" w:rsidRPr="00A07762" w:rsidRDefault="001764FE" w:rsidP="001764FE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2F7A9154" w14:textId="77777777" w:rsidR="001764FE" w:rsidRDefault="001764FE" w:rsidP="001764FE">
            <w:pPr>
              <w:pStyle w:val="TableParagraph"/>
              <w:jc w:val="both"/>
              <w:rPr>
                <w:rFonts w:ascii="Calibri" w:hAnsi="Calibri" w:cs="Arial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Öğr</w:t>
            </w:r>
            <w:proofErr w:type="spellEnd"/>
            <w:r>
              <w:rPr>
                <w:rFonts w:ascii="Calibri" w:hAnsi="Calibri" w:cs="Arial"/>
              </w:rPr>
              <w:t>. Gör. Oğuz YÜCE</w:t>
            </w:r>
          </w:p>
          <w:p w14:paraId="0C261EC8" w14:textId="608CA43E" w:rsidR="001764FE" w:rsidRPr="00477292" w:rsidRDefault="001764FE" w:rsidP="001764FE">
            <w:pPr>
              <w:rPr>
                <w:rFonts w:ascii="Calibri" w:hAnsi="Calibri" w:cs="Arial"/>
              </w:rPr>
            </w:pPr>
            <w:r w:rsidRPr="00477292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oguzyuce@aybu.edu.tr</w:t>
            </w:r>
          </w:p>
          <w:p w14:paraId="1ABCB78D" w14:textId="253CFB1F" w:rsidR="001764FE" w:rsidRPr="00EA0355" w:rsidRDefault="001764FE" w:rsidP="001764FE">
            <w:pPr>
              <w:pStyle w:val="TableParagraph"/>
              <w:jc w:val="both"/>
              <w:rPr>
                <w:sz w:val="20"/>
              </w:rPr>
            </w:pPr>
          </w:p>
        </w:tc>
      </w:tr>
      <w:tr w:rsidR="001764FE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1764FE" w:rsidRDefault="001764FE" w:rsidP="001764FE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1764FE" w:rsidRPr="00A07762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1764FE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1764FE" w:rsidRPr="00A07762" w:rsidRDefault="001764FE" w:rsidP="001764FE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7C18CA9" w:rsidR="001764FE" w:rsidRDefault="001764FE" w:rsidP="001764FE">
            <w:pPr>
              <w:pStyle w:val="TableParagraph"/>
              <w:spacing w:before="54"/>
              <w:jc w:val="both"/>
              <w:rPr>
                <w:sz w:val="20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Bitkilerin evrimini, akrabalıklarını, benzerliklerini, farklılarını öğrenmek. Sınıflandırma yöntemlerini öğrenmek Sınıflandırmada kullanılan bitkisel karakterleri öğrenmek Büyük bitki ailelerinin genel özelliklerini ve önemli cinslerini tanımak.</w:t>
            </w:r>
          </w:p>
          <w:p w14:paraId="0826135D" w14:textId="77777777" w:rsidR="001764FE" w:rsidRPr="009F5D40" w:rsidRDefault="001764FE" w:rsidP="001764FE"/>
        </w:tc>
      </w:tr>
      <w:tr w:rsidR="001764FE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1764FE" w:rsidRPr="00A07762" w:rsidRDefault="001764FE" w:rsidP="001764FE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1764FE" w:rsidRPr="00A07762" w:rsidRDefault="001764FE" w:rsidP="001764FE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C44747E" w:rsidR="001764FE" w:rsidRPr="00423F35" w:rsidRDefault="001764FE" w:rsidP="001764FE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1764FE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1764FE" w:rsidRPr="00A07762" w:rsidRDefault="001764FE" w:rsidP="001764FE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1764FE" w:rsidRPr="00EA0355" w:rsidRDefault="001764FE" w:rsidP="001764FE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1764FE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1764FE" w:rsidRPr="00A07762" w:rsidRDefault="001764FE" w:rsidP="001764FE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315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6757"/>
              <w:gridCol w:w="1258"/>
              <w:gridCol w:w="6757"/>
              <w:gridCol w:w="1258"/>
              <w:gridCol w:w="6470"/>
            </w:tblGrid>
            <w:tr w:rsidR="001764FE" w14:paraId="3E709471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4A01AC21" w14:textId="77777777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237D9298" w14:textId="36D0CF45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</w:rPr>
                    <w:t>Mikrobiyoloji bilimin tarihsel gelişimini öğrenir.</w:t>
                  </w:r>
                </w:p>
              </w:tc>
              <w:tc>
                <w:tcPr>
                  <w:tcW w:w="8015" w:type="dxa"/>
                  <w:gridSpan w:val="2"/>
                </w:tcPr>
                <w:p w14:paraId="236DA61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3D353CF7" w14:textId="400BE5D9" w:rsidR="001764FE" w:rsidRDefault="001764FE" w:rsidP="001764FE">
                  <w:pPr>
                    <w:jc w:val="both"/>
                  </w:pPr>
                </w:p>
              </w:tc>
            </w:tr>
            <w:tr w:rsidR="001764FE" w14:paraId="0C20425A" w14:textId="77777777" w:rsidTr="001764FE">
              <w:trPr>
                <w:gridAfter w:val="1"/>
                <w:wAfter w:w="6470" w:type="dxa"/>
                <w:trHeight w:val="267"/>
              </w:trPr>
              <w:tc>
                <w:tcPr>
                  <w:tcW w:w="1052" w:type="dxa"/>
                </w:tcPr>
                <w:p w14:paraId="7FFB7C2D" w14:textId="77777777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1B43A1DF" w14:textId="03AC6A6E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Mikroorganizmaların sınıflandırılmasını öğrenir</w:t>
                  </w:r>
                </w:p>
              </w:tc>
              <w:tc>
                <w:tcPr>
                  <w:tcW w:w="8015" w:type="dxa"/>
                  <w:gridSpan w:val="2"/>
                </w:tcPr>
                <w:p w14:paraId="0CA59D8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6DD7D556" w14:textId="408A78A8" w:rsidR="001764FE" w:rsidRDefault="001764FE" w:rsidP="001764FE">
                  <w:pPr>
                    <w:jc w:val="both"/>
                  </w:pPr>
                </w:p>
              </w:tc>
            </w:tr>
            <w:tr w:rsidR="001764FE" w14:paraId="1C2B460B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4C9E1EC8" w14:textId="7E5E886D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1C571612" w14:textId="087BA1B5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</w:rPr>
                    <w:t>Bakteri, küf, maya ve virüslerin genel özelliklerini öğrenir.</w:t>
                  </w:r>
                </w:p>
              </w:tc>
              <w:tc>
                <w:tcPr>
                  <w:tcW w:w="8015" w:type="dxa"/>
                  <w:gridSpan w:val="2"/>
                </w:tcPr>
                <w:p w14:paraId="53F6628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690FBF50" w14:textId="48987897" w:rsidR="001764FE" w:rsidRDefault="001764FE" w:rsidP="001764FE">
                  <w:pPr>
                    <w:jc w:val="both"/>
                  </w:pPr>
                </w:p>
              </w:tc>
            </w:tr>
            <w:tr w:rsidR="001764FE" w14:paraId="588139CF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187999F0" w14:textId="577A76B9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3F9BC234" w14:textId="09F74285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Bakterilerin üremelerine etkili faktörleri öğrenir</w:t>
                  </w:r>
                </w:p>
              </w:tc>
              <w:tc>
                <w:tcPr>
                  <w:tcW w:w="8015" w:type="dxa"/>
                  <w:gridSpan w:val="2"/>
                </w:tcPr>
                <w:p w14:paraId="55760B9F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15" w:type="dxa"/>
                  <w:gridSpan w:val="2"/>
                </w:tcPr>
                <w:p w14:paraId="0C133913" w14:textId="2E2E41B7" w:rsidR="001764FE" w:rsidRDefault="001764FE" w:rsidP="001764FE">
                  <w:pPr>
                    <w:jc w:val="both"/>
                  </w:pPr>
                </w:p>
              </w:tc>
            </w:tr>
            <w:tr w:rsidR="001764FE" w14:paraId="0720D129" w14:textId="69783928" w:rsidTr="00780971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4772" w:type="dxa"/>
                  <w:gridSpan w:val="2"/>
                </w:tcPr>
                <w:p w14:paraId="6DED6834" w14:textId="77777777" w:rsidR="001764FE" w:rsidRPr="008D663E" w:rsidRDefault="001764FE" w:rsidP="001764FE">
                  <w:pPr>
                    <w:adjustRightInd w:val="0"/>
                    <w:rPr>
                      <w:rFonts w:cstheme="minorHAnsi"/>
                      <w:color w:val="000000" w:themeColor="text1"/>
                    </w:rPr>
                  </w:pPr>
                  <w:r w:rsidRPr="008D663E">
                    <w:rPr>
                      <w:rFonts w:cstheme="minorHAnsi"/>
                      <w:color w:val="000000" w:themeColor="text1"/>
                    </w:rPr>
                    <w:t xml:space="preserve">Mikrobiyoloji </w:t>
                  </w:r>
                  <w:proofErr w:type="spellStart"/>
                  <w:r w:rsidRPr="008D663E">
                    <w:rPr>
                      <w:rFonts w:cstheme="minorHAnsi"/>
                      <w:color w:val="000000" w:themeColor="text1"/>
                    </w:rPr>
                    <w:t>laboratuarında</w:t>
                  </w:r>
                  <w:proofErr w:type="spellEnd"/>
                  <w:r w:rsidRPr="008D663E">
                    <w:rPr>
                      <w:rFonts w:cstheme="minorHAnsi"/>
                      <w:color w:val="000000" w:themeColor="text1"/>
                    </w:rPr>
                    <w:t xml:space="preserve"> kullanılan temel araç ve </w:t>
                  </w:r>
                </w:p>
                <w:p w14:paraId="189B098D" w14:textId="47C38FCC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</w:rPr>
                    <w:t>gereçleri öğrenir</w:t>
                  </w:r>
                  <w:proofErr w:type="gramStart"/>
                  <w:r w:rsidRPr="008D663E">
                    <w:rPr>
                      <w:rFonts w:cstheme="minorHAnsi"/>
                      <w:color w:val="000000" w:themeColor="text1"/>
                    </w:rPr>
                    <w:t>.;</w:t>
                  </w:r>
                  <w:proofErr w:type="gramEnd"/>
                </w:p>
              </w:tc>
              <w:tc>
                <w:tcPr>
                  <w:tcW w:w="8015" w:type="dxa"/>
                  <w:gridSpan w:val="2"/>
                </w:tcPr>
                <w:p w14:paraId="37A66FEE" w14:textId="2CA8BE96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7728" w:type="dxa"/>
                  <w:gridSpan w:val="2"/>
                </w:tcPr>
                <w:p w14:paraId="44359876" w14:textId="02D5E749" w:rsidR="001764FE" w:rsidRDefault="001764FE" w:rsidP="001764FE">
                  <w:r w:rsidRPr="00500436">
                    <w:rPr>
                      <w:rFonts w:ascii="Calibri" w:hAnsi="Calibri" w:cs="Arial"/>
                      <w:color w:val="000000" w:themeColor="text1"/>
                    </w:rPr>
                    <w:t>Çiçeksiz bitkileri tanıyabilmek</w:t>
                  </w:r>
                </w:p>
              </w:tc>
            </w:tr>
            <w:tr w:rsidR="001764FE" w14:paraId="477464F6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240AE77B" w14:textId="0FC0E4E5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7A8516FB" w14:textId="2BFB4759" w:rsidR="001764FE" w:rsidRDefault="001764FE" w:rsidP="001764FE">
                  <w:pPr>
                    <w:jc w:val="both"/>
                  </w:pPr>
                  <w:proofErr w:type="spellStart"/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Besiyeri</w:t>
                  </w:r>
                  <w:proofErr w:type="spellEnd"/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 hazırlamasını öğrenir</w:t>
                  </w:r>
                  <w:proofErr w:type="gramStart"/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.;</w:t>
                  </w:r>
                  <w:proofErr w:type="gramEnd"/>
                </w:p>
              </w:tc>
              <w:tc>
                <w:tcPr>
                  <w:tcW w:w="8015" w:type="dxa"/>
                  <w:gridSpan w:val="2"/>
                </w:tcPr>
                <w:p w14:paraId="5ECF911F" w14:textId="54CC6F66" w:rsidR="001764FE" w:rsidRDefault="001764FE" w:rsidP="001764FE">
                  <w:pPr>
                    <w:jc w:val="both"/>
                  </w:pPr>
                  <w:proofErr w:type="spellStart"/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Besiyeri</w:t>
                  </w:r>
                  <w:proofErr w:type="spellEnd"/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 xml:space="preserve"> hazırlamasını öğrenir</w:t>
                  </w:r>
                  <w:proofErr w:type="gramStart"/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.;</w:t>
                  </w:r>
                  <w:proofErr w:type="gramEnd"/>
                </w:p>
              </w:tc>
              <w:tc>
                <w:tcPr>
                  <w:tcW w:w="8015" w:type="dxa"/>
                  <w:gridSpan w:val="2"/>
                </w:tcPr>
                <w:p w14:paraId="515F134D" w14:textId="0ECA1B46" w:rsidR="001764FE" w:rsidRDefault="001764FE" w:rsidP="001764FE">
                  <w:pPr>
                    <w:jc w:val="both"/>
                  </w:pPr>
                </w:p>
              </w:tc>
            </w:tr>
            <w:tr w:rsidR="001764FE" w14:paraId="39A13220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2D9EA604" w14:textId="7619D12C" w:rsidR="001764FE" w:rsidRPr="00F13182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66C1B953" w14:textId="61ECEEBB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</w:rPr>
                    <w:t>Gram boyama yöntemini öğrenir</w:t>
                  </w:r>
                </w:p>
              </w:tc>
              <w:tc>
                <w:tcPr>
                  <w:tcW w:w="8015" w:type="dxa"/>
                  <w:gridSpan w:val="2"/>
                </w:tcPr>
                <w:p w14:paraId="30EF848A" w14:textId="75D55941" w:rsidR="001764FE" w:rsidRDefault="001764FE" w:rsidP="001764FE">
                  <w:pPr>
                    <w:jc w:val="both"/>
                  </w:pPr>
                  <w:r w:rsidRPr="008D663E">
                    <w:rPr>
                      <w:rFonts w:cstheme="minorHAnsi"/>
                      <w:color w:val="000000" w:themeColor="text1"/>
                    </w:rPr>
                    <w:t>Gram boyama yöntemini öğrenir</w:t>
                  </w:r>
                </w:p>
              </w:tc>
              <w:tc>
                <w:tcPr>
                  <w:tcW w:w="8015" w:type="dxa"/>
                  <w:gridSpan w:val="2"/>
                </w:tcPr>
                <w:p w14:paraId="3A53BDB2" w14:textId="5BFF2881" w:rsidR="001764FE" w:rsidRDefault="001764FE" w:rsidP="001764FE">
                  <w:pPr>
                    <w:jc w:val="both"/>
                  </w:pPr>
                </w:p>
              </w:tc>
            </w:tr>
            <w:tr w:rsidR="001764FE" w14:paraId="49A03444" w14:textId="77777777" w:rsidTr="001764FE">
              <w:trPr>
                <w:gridAfter w:val="1"/>
                <w:wAfter w:w="6470" w:type="dxa"/>
                <w:trHeight w:val="279"/>
              </w:trPr>
              <w:tc>
                <w:tcPr>
                  <w:tcW w:w="1052" w:type="dxa"/>
                </w:tcPr>
                <w:p w14:paraId="45DD787A" w14:textId="6E809491" w:rsidR="001764FE" w:rsidRDefault="001764FE" w:rsidP="001764FE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5C63BF41" w14:textId="598F6E20" w:rsidR="001764FE" w:rsidRPr="008D663E" w:rsidRDefault="001764FE" w:rsidP="001764FE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Mikroskobik inceleme yapmasını öğrenir.</w:t>
                  </w:r>
                </w:p>
              </w:tc>
              <w:tc>
                <w:tcPr>
                  <w:tcW w:w="8015" w:type="dxa"/>
                  <w:gridSpan w:val="2"/>
                </w:tcPr>
                <w:p w14:paraId="79ACFFC5" w14:textId="3CB6785D" w:rsidR="001764FE" w:rsidRPr="008D663E" w:rsidRDefault="001764FE" w:rsidP="001764FE">
                  <w:pPr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8D663E">
                    <w:rPr>
                      <w:rFonts w:cstheme="minorHAnsi"/>
                      <w:color w:val="000000" w:themeColor="text1"/>
                      <w:shd w:val="clear" w:color="auto" w:fill="FFFFFF"/>
                    </w:rPr>
                    <w:t>Mikroskobik inceleme yapmasını öğrenir.</w:t>
                  </w:r>
                </w:p>
              </w:tc>
              <w:tc>
                <w:tcPr>
                  <w:tcW w:w="8015" w:type="dxa"/>
                  <w:gridSpan w:val="2"/>
                </w:tcPr>
                <w:p w14:paraId="7CDD1CA0" w14:textId="77777777" w:rsidR="001764FE" w:rsidRDefault="001764FE" w:rsidP="001764FE">
                  <w:pPr>
                    <w:jc w:val="both"/>
                  </w:pPr>
                </w:p>
              </w:tc>
            </w:tr>
          </w:tbl>
          <w:p w14:paraId="0BD6EB83" w14:textId="28FB4137" w:rsidR="001764FE" w:rsidRPr="00EA0355" w:rsidRDefault="001764FE" w:rsidP="001764FE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1764FE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1764FE" w:rsidRPr="00A07762" w:rsidRDefault="001764FE" w:rsidP="001764FE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1764FE" w:rsidRPr="006F7080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1764FE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1764FE" w:rsidRDefault="001764FE" w:rsidP="001764FE">
                  <w:pPr>
                    <w:jc w:val="both"/>
                  </w:pPr>
                </w:p>
              </w:tc>
            </w:tr>
            <w:tr w:rsidR="001764FE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1764FE" w:rsidRDefault="001764FE" w:rsidP="001764FE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1764FE" w:rsidRDefault="001764FE" w:rsidP="001764FE">
                  <w:pPr>
                    <w:jc w:val="both"/>
                  </w:pPr>
                </w:p>
              </w:tc>
            </w:tr>
          </w:tbl>
          <w:p w14:paraId="04E5F6F6" w14:textId="25BF1690" w:rsidR="001764FE" w:rsidRPr="00A07762" w:rsidRDefault="001764FE" w:rsidP="001764FE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1764FE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1764FE" w:rsidRPr="00A07762" w:rsidRDefault="001764FE" w:rsidP="001764FE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1764FE" w:rsidRPr="00A07762" w:rsidRDefault="001764FE" w:rsidP="001764FE">
            <w:pPr>
              <w:pStyle w:val="TableParagraph"/>
              <w:jc w:val="both"/>
              <w:rPr>
                <w:sz w:val="20"/>
              </w:rPr>
            </w:pPr>
          </w:p>
        </w:tc>
      </w:tr>
      <w:tr w:rsidR="001764FE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1764FE" w:rsidRPr="00A07762" w:rsidRDefault="001764FE" w:rsidP="001764FE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1764FE" w14:paraId="5531A340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1764FE" w:rsidRDefault="001764FE" w:rsidP="001764FE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5E71A436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Mikrobiyolojinin Başlangıçtan Günümüze gelişimi</w:t>
                  </w:r>
                </w:p>
              </w:tc>
            </w:tr>
            <w:tr w:rsidR="001764FE" w14:paraId="216EDEF2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1764FE" w:rsidRDefault="001764FE" w:rsidP="001764FE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796B6D0A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Mikroorganizmaların sınıflandırılması</w:t>
                  </w:r>
                </w:p>
              </w:tc>
            </w:tr>
            <w:tr w:rsidR="001764FE" w14:paraId="6434823F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0DE03E48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Bakterilerin Morfolojileri</w:t>
                  </w:r>
                </w:p>
              </w:tc>
            </w:tr>
            <w:tr w:rsidR="001764FE" w14:paraId="11D43151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2790274E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Koloni morfolojisi</w:t>
                  </w:r>
                </w:p>
              </w:tc>
            </w:tr>
            <w:tr w:rsidR="001764FE" w14:paraId="468CA674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2B0C2CB2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Bakterilerin anatomik yapıları (Dış yapı)</w:t>
                  </w:r>
                </w:p>
              </w:tc>
            </w:tr>
            <w:tr w:rsidR="001764FE" w14:paraId="3404A3ED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7347E216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Bakterilerin anatomik yapıları (</w:t>
                  </w:r>
                  <w:proofErr w:type="gramStart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İç yapı</w:t>
                  </w:r>
                  <w:proofErr w:type="gramEnd"/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)</w:t>
                  </w:r>
                </w:p>
              </w:tc>
            </w:tr>
            <w:tr w:rsidR="001764FE" w14:paraId="63AE3A1B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0A6ACDC4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Bakterilerin kimyasal yapıları</w:t>
                  </w:r>
                </w:p>
              </w:tc>
            </w:tr>
            <w:tr w:rsidR="001764FE" w14:paraId="7B87F729" w14:textId="77777777" w:rsidTr="00197943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31D3C972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Ders tekrarı ve Ara sınav</w:t>
                  </w:r>
                </w:p>
              </w:tc>
            </w:tr>
            <w:tr w:rsidR="001764FE" w14:paraId="0331CF24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55DC6D47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Mikroorganizmaların Beslenmesi</w:t>
                  </w:r>
                </w:p>
              </w:tc>
            </w:tr>
            <w:tr w:rsidR="001764FE" w14:paraId="78297F8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6C1BD01C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Sıvı ortamda Üreme, Katı ortamda Üreme, Üremenin Ölçülmesi</w:t>
                  </w:r>
                </w:p>
              </w:tc>
            </w:tr>
            <w:tr w:rsidR="001764FE" w14:paraId="4AC17D41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18A84923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Bakterilerin Üremelerine Etkili Faktörler</w:t>
                  </w:r>
                </w:p>
              </w:tc>
            </w:tr>
            <w:tr w:rsidR="001764FE" w14:paraId="076DECAA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2FC16AFB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Küflerin Genel Karakterleri</w:t>
                  </w:r>
                </w:p>
              </w:tc>
            </w:tr>
            <w:tr w:rsidR="001764FE" w14:paraId="5968C6F7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1CD0DED5" w:rsidR="001764FE" w:rsidRPr="001764FE" w:rsidRDefault="001764FE" w:rsidP="001764FE">
                  <w:pPr>
                    <w:rPr>
                      <w:rFonts w:ascii="Helvetica" w:eastAsia="Times New Roman" w:hAnsi="Helvetica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</w:rPr>
                    <w:t>Mayaların Genel Karakterleri</w:t>
                  </w:r>
                </w:p>
              </w:tc>
            </w:tr>
            <w:tr w:rsidR="001764FE" w14:paraId="0406DD63" w14:textId="77777777" w:rsidTr="00197943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3A909191" w:rsidR="001764FE" w:rsidRDefault="001764FE" w:rsidP="001764FE">
                  <w:pPr>
                    <w:jc w:val="both"/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Virüslerin Genel Karakterleri</w:t>
                  </w:r>
                </w:p>
              </w:tc>
            </w:tr>
            <w:tr w:rsidR="001764FE" w14:paraId="4B628BEB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1764FE" w:rsidRDefault="001764FE" w:rsidP="001764FE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572D323A" w:rsidR="001764FE" w:rsidRDefault="001764FE" w:rsidP="001764FE">
                  <w:pPr>
                    <w:jc w:val="both"/>
                  </w:pPr>
                  <w:proofErr w:type="spellStart"/>
                  <w:r w:rsidRPr="00A328AE"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Besiyeri</w:t>
                  </w:r>
                  <w:proofErr w:type="spellEnd"/>
                  <w:r w:rsidRPr="00A328AE"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 xml:space="preserve"> hazırlama yöntemleri</w:t>
                  </w:r>
                </w:p>
              </w:tc>
            </w:tr>
            <w:tr w:rsidR="001764FE" w14:paraId="32EC2158" w14:textId="77777777" w:rsidTr="00197943">
              <w:trPr>
                <w:trHeight w:val="280"/>
              </w:trPr>
              <w:tc>
                <w:tcPr>
                  <w:tcW w:w="1054" w:type="dxa"/>
                </w:tcPr>
                <w:p w14:paraId="72FBBFFE" w14:textId="00C34C00" w:rsidR="001764FE" w:rsidRDefault="001764FE" w:rsidP="001764FE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F0160D2" w14:textId="471B0FD2" w:rsidR="001764FE" w:rsidRPr="00500436" w:rsidRDefault="001764FE" w:rsidP="001764FE">
                  <w:pPr>
                    <w:shd w:val="clear" w:color="auto" w:fill="FFFFFF"/>
                    <w:spacing w:line="432" w:lineRule="atLeast"/>
                    <w:jc w:val="both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  <w:lang w:eastAsia="tr-TR"/>
                    </w:rPr>
                  </w:pPr>
                  <w:r>
                    <w:rPr>
                      <w:rFonts w:ascii="Calibri" w:eastAsia="Times New Roman" w:hAnsi="Calibri" w:cs="Arial"/>
                    </w:rPr>
                    <w:t>Yarıyıl sonu sınavı</w:t>
                  </w:r>
                </w:p>
              </w:tc>
            </w:tr>
          </w:tbl>
          <w:p w14:paraId="00084DD6" w14:textId="1E67CA0A" w:rsidR="001764FE" w:rsidRPr="00EA0355" w:rsidRDefault="001764FE" w:rsidP="001764FE">
            <w:pPr>
              <w:jc w:val="both"/>
            </w:pPr>
          </w:p>
        </w:tc>
      </w:tr>
      <w:tr w:rsidR="001764F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1764FE" w:rsidRPr="007F634E" w:rsidRDefault="001764FE" w:rsidP="001764F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1764F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1764F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8633766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D8A467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1764F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1764F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151247D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96164C2" w:rsidR="001764FE" w:rsidRPr="00226CD7" w:rsidRDefault="001764FE" w:rsidP="001764F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1764F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1764FE" w:rsidRPr="00226CD7" w:rsidRDefault="001764FE" w:rsidP="001764F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1764FE" w:rsidRPr="00AF29FC" w:rsidRDefault="001764FE" w:rsidP="001764FE">
            <w:pPr>
              <w:jc w:val="both"/>
              <w:rPr>
                <w:sz w:val="20"/>
                <w:szCs w:val="20"/>
              </w:rPr>
            </w:pPr>
          </w:p>
        </w:tc>
      </w:tr>
      <w:tr w:rsidR="001764FE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1764FE" w:rsidRPr="00A07762" w:rsidRDefault="001764FE" w:rsidP="001764F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F2D3407" w14:textId="77777777" w:rsidR="002C7D7E" w:rsidRDefault="002C7D7E" w:rsidP="002C7D7E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3BFEE4CD" w:rsidR="001764FE" w:rsidRPr="00930D25" w:rsidRDefault="001764FE" w:rsidP="001764FE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764FE"/>
    <w:rsid w:val="001B4555"/>
    <w:rsid w:val="00206D7B"/>
    <w:rsid w:val="00211BCA"/>
    <w:rsid w:val="00284643"/>
    <w:rsid w:val="00296B46"/>
    <w:rsid w:val="002C43F4"/>
    <w:rsid w:val="002C7D7E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9F5D40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2025-10-20T08:44:00Z</dcterms:created>
  <dcterms:modified xsi:type="dcterms:W3CDTF">2025-11-16T18:04:00Z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