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9DDFE06" w:rsidR="00867237" w:rsidRPr="00A07762" w:rsidRDefault="00477BAA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OSD101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815910E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İLKYARDIM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4E6ABA60" w:rsidR="00867237" w:rsidRPr="00A07762" w:rsidRDefault="00477BAA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>. Gör. Dr. Burcu ÇALIK BAĞRIYANIK</w:t>
            </w:r>
          </w:p>
          <w:p w14:paraId="1ABCB78D" w14:textId="0C72AAE2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906E22" w:rsidRPr="00906E22">
              <w:rPr>
                <w:sz w:val="20"/>
              </w:rPr>
              <w:t>@</w:t>
            </w:r>
            <w:r w:rsidR="00906E22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2AD4C724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906E22">
              <w:rPr>
                <w:b/>
                <w:bCs/>
                <w:sz w:val="20"/>
              </w:rPr>
              <w:t xml:space="preserve">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36388F7D" w14:textId="77777777" w:rsidR="00297722" w:rsidRPr="00297722" w:rsidRDefault="00297722" w:rsidP="00297722">
            <w:pPr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297722">
              <w:rPr>
                <w:rFonts w:cstheme="minorHAnsi"/>
                <w:color w:val="3A3A3A"/>
                <w:sz w:val="20"/>
                <w:szCs w:val="20"/>
              </w:rPr>
              <w:t>Bu dersin amacı, ilk yardım ile ilgili temel kavramları, kural ve ilkeleri kullanarak acil durum gerektiren durumlarda hasta/yaralı ve kendi can güvenliğini sağlayarak, bireylerin yaşamını kurtarmak ve sakatlığı önlemek amacıyla zamanında ve yerinde alınabilecek önlemlere yönelik bilgi ve becerileri kazandırmaktır.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77D9EE1" w:rsidR="003D5B92" w:rsidRPr="00297722" w:rsidRDefault="0029772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97722">
                    <w:rPr>
                      <w:sz w:val="20"/>
                      <w:szCs w:val="20"/>
                    </w:rPr>
                    <w:t>İlk yardımın temel ilkelerini uygulayabilmek ve temel yaşam desteği uygular.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E728E72" w:rsidR="003D5B92" w:rsidRPr="00297722" w:rsidRDefault="0029772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97722">
                    <w:rPr>
                      <w:sz w:val="20"/>
                      <w:szCs w:val="20"/>
                    </w:rPr>
                    <w:t>Yaralanmalarda ilk yardım uygular.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944FBD9" w:rsidR="003D5B92" w:rsidRPr="00297722" w:rsidRDefault="0029772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97722">
                    <w:rPr>
                      <w:sz w:val="20"/>
                      <w:szCs w:val="20"/>
                    </w:rPr>
                    <w:t>Kırık, çıkık ve burkulmalarda ilk yardım uygular.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EA56713" w:rsidR="00AE2FFC" w:rsidRPr="00297722" w:rsidRDefault="0029772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97722">
                    <w:rPr>
                      <w:sz w:val="20"/>
                      <w:szCs w:val="20"/>
                    </w:rPr>
                    <w:t>Diğer acil durumlarda ilk yardım uygular.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D241263" w:rsidR="00AE2FFC" w:rsidRPr="00297722" w:rsidRDefault="0029772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97722">
                    <w:rPr>
                      <w:sz w:val="20"/>
                      <w:szCs w:val="20"/>
                    </w:rPr>
                    <w:t>Hasta veya yaralıları taşıma işlemini uygular.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1B2588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086060C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15124DF9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Etik ilkelerin ve etik kurulların birey ve toplum için önemini tanımlar.</w:t>
                  </w:r>
                </w:p>
              </w:tc>
            </w:tr>
            <w:tr w:rsidR="001B258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0A2D8B3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7A460506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25FF270" w:rsidR="006F7080" w:rsidRPr="001B2588" w:rsidRDefault="001B258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19747C5E" w:rsidR="006F7080" w:rsidRPr="001B2588" w:rsidRDefault="001B258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5E4A15B" w:rsidR="006F7080" w:rsidRPr="001B2588" w:rsidRDefault="001B258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03DD0DAB" w:rsidR="006F7080" w:rsidRPr="001B2588" w:rsidRDefault="001B258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Yaşam boyu öğrenme bilincine sahiptir.</w:t>
                  </w:r>
                </w:p>
              </w:tc>
            </w:tr>
            <w:tr w:rsidR="001B2588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6F0F04C2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2C7F712A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1B2588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E368B7A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3025340C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Yaşlı Bakım alanında toplumun ve dünyanın gündemindeki olayları izler ve gelişmelere duyarlıdır.</w:t>
                  </w:r>
                </w:p>
              </w:tc>
            </w:tr>
            <w:tr w:rsidR="001B2588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D918AAD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0A85B418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Kalite yönetimi ve süreçlerine uygun davranır ve bu süreçlere katılır.</w:t>
                  </w:r>
                </w:p>
              </w:tc>
            </w:tr>
            <w:tr w:rsidR="001B2588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3821A5D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465AB5F7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Birey ve halk sağlığı, çevre koruma ve iş güvenliği konularında yeterli bilince sahiptir.</w:t>
                  </w:r>
                </w:p>
              </w:tc>
            </w:tr>
            <w:tr w:rsidR="001B2588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413A4404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210395E1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Birey olarak görev, hak ve sorumlulukları ile ilgili yasa, yönetmelik, mevzuata ve mesleki etik kurallarına uygun davranır.</w:t>
                  </w:r>
                </w:p>
              </w:tc>
            </w:tr>
            <w:tr w:rsidR="001B2588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65C0D140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2199A7B7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Diğer sağlık disiplinleri ile çalışabilme deneyimine sahiptir.</w:t>
                  </w:r>
                </w:p>
              </w:tc>
            </w:tr>
            <w:tr w:rsidR="001B2588" w14:paraId="180F960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3C68DB3" w14:textId="793D7585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023" w:type="dxa"/>
                </w:tcPr>
                <w:p w14:paraId="7336CAD1" w14:textId="3832FBB1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  <w:tr w:rsidR="001B2588" w14:paraId="56D9009F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8FA9BBA" w14:textId="31753C73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023" w:type="dxa"/>
                </w:tcPr>
                <w:p w14:paraId="3134EF9C" w14:textId="16EE99C8" w:rsidR="001B2588" w:rsidRPr="001B2588" w:rsidRDefault="001B2588" w:rsidP="001B2588">
                  <w:pPr>
                    <w:jc w:val="both"/>
                    <w:rPr>
                      <w:sz w:val="20"/>
                      <w:szCs w:val="20"/>
                    </w:rPr>
                  </w:pPr>
                  <w:r w:rsidRPr="001B2588">
                    <w:rPr>
                      <w:sz w:val="20"/>
                      <w:szCs w:val="20"/>
                    </w:rPr>
                    <w:t>Mesleki ve etik değerleri gözeterek çözüm önerileri geliştirir.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5A34652E" w14:textId="77777777" w:rsidR="00630C60" w:rsidRDefault="006E3EA6" w:rsidP="006E3EA6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6E3EA6">
              <w:rPr>
                <w:sz w:val="20"/>
              </w:rPr>
              <w:t>Öğrenciler, acil durumlarda doğru değerlendirme yapma, sakin kalma ve etkili ilkya</w:t>
            </w:r>
            <w:r>
              <w:rPr>
                <w:sz w:val="20"/>
              </w:rPr>
              <w:t xml:space="preserve">rdım uygulama becerisi kazanır. </w:t>
            </w:r>
            <w:r w:rsidRPr="006E3EA6">
              <w:rPr>
                <w:sz w:val="20"/>
              </w:rPr>
              <w:t>Bu bilgi, özellikle yaşlı bireylerde sık görülen düşme, bayılma, kalp krizi, solunum güçlüğü gibi acil durumlara doğru şekilde müdahale etmelerini sağlar.</w:t>
            </w:r>
          </w:p>
          <w:p w14:paraId="3E353DFD" w14:textId="77777777" w:rsidR="006E3EA6" w:rsidRDefault="006E3EA6" w:rsidP="006E3EA6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6E3EA6">
              <w:rPr>
                <w:sz w:val="20"/>
              </w:rPr>
              <w:t>Ders, öğrencilere hem kendi güvenliğini hem de hasta/yaralının güvenliğini koruyarak</w:t>
            </w:r>
            <w:r>
              <w:rPr>
                <w:sz w:val="20"/>
              </w:rPr>
              <w:t xml:space="preserve"> risk yönetimi yapmayı öğretir. </w:t>
            </w:r>
            <w:r w:rsidRPr="006E3EA6">
              <w:rPr>
                <w:sz w:val="20"/>
              </w:rPr>
              <w:t>Bu yaklaşım, bakım ortamlarında kaza ve yaralanmaların önlenmesine katkıda bulunur</w:t>
            </w:r>
          </w:p>
          <w:p w14:paraId="27278B09" w14:textId="01BF7A03" w:rsidR="006E3EA6" w:rsidRPr="006E3EA6" w:rsidRDefault="006E3EA6" w:rsidP="006E3EA6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6E3EA6">
              <w:rPr>
                <w:sz w:val="20"/>
              </w:rPr>
              <w:t>cil durumlarda ekip çalışmasının önemini kavrayan öğrenciler, koordinasyon, iletişim ve liderlik becerilerini geliştirir.</w:t>
            </w:r>
            <w:r>
              <w:rPr>
                <w:sz w:val="20"/>
              </w:rPr>
              <w:t xml:space="preserve"> </w:t>
            </w:r>
            <w:r w:rsidRPr="006E3EA6">
              <w:rPr>
                <w:sz w:val="20"/>
              </w:rPr>
              <w:t>Bu beceriler, yaşlı bakım merkezleri ve sağlık kurumlarında etkin müdahale ve işbirliği sağlamalarına yardımcı olur.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EEFC2E9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İlk Yardımın Tanımı, Hedefi ve Önemi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C45046D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Olay Yeri Değerlendirmesi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E3F397B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Temel Yaşam Desteği (</w:t>
                  </w:r>
                  <w:proofErr w:type="spellStart"/>
                  <w:r w:rsidRPr="00477BAA">
                    <w:rPr>
                      <w:sz w:val="20"/>
                      <w:szCs w:val="20"/>
                    </w:rPr>
                    <w:t>Yenidoğan</w:t>
                  </w:r>
                  <w:proofErr w:type="spellEnd"/>
                  <w:r w:rsidRPr="00477BAA">
                    <w:rPr>
                      <w:sz w:val="20"/>
                      <w:szCs w:val="20"/>
                    </w:rPr>
                    <w:t>, Çocuk, Yetişkin)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98DDE09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Bilinç Kaybı, Bayılma, Epilepsi ve Göğüs Ağrısı Olan Hastalarda İlkyardım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353FB8D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Yaralanmalarda İlk Yardım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04CD809" w:rsidR="00AE2FFC" w:rsidRPr="00477BAA" w:rsidRDefault="00477BA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477BAA">
                    <w:rPr>
                      <w:sz w:val="20"/>
                      <w:szCs w:val="20"/>
                    </w:rPr>
                    <w:t>Kanamalar ve Şokta İlkyardım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8348E75" w:rsidR="00AE2FFC" w:rsidRPr="00F0027A" w:rsidRDefault="00F0027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sz w:val="20"/>
                      <w:szCs w:val="20"/>
                    </w:rPr>
                    <w:t>Hasta ve Yaralının Değerlendirilmesi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80D8CDB" w:rsidR="00AE2FFC" w:rsidRPr="00F0027A" w:rsidRDefault="00F0027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Kırık, Çıkık ve Burkulmalarda İlkyardım</w:t>
                  </w:r>
                </w:p>
              </w:tc>
            </w:tr>
            <w:tr w:rsidR="00F0027A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B22541B" w:rsidR="00F0027A" w:rsidRPr="00F0027A" w:rsidRDefault="00F0027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Sıcak Çarpması ve Donmalarda İlkyardım</w:t>
                  </w:r>
                </w:p>
              </w:tc>
            </w:tr>
            <w:tr w:rsidR="00F0027A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4F016A06" w:rsidR="00F0027A" w:rsidRPr="00F0027A" w:rsidRDefault="00F0027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Yanıklarda ve Elektrik Çarpmalarında İlkyardım</w:t>
                  </w:r>
                </w:p>
              </w:tc>
            </w:tr>
            <w:tr w:rsidR="00F0027A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A3E015D" w:rsidR="00F0027A" w:rsidRPr="00F0027A" w:rsidRDefault="00F0027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Zehirlenmeler, Isırık ve Sokmalarda İlkyardım</w:t>
                  </w:r>
                </w:p>
              </w:tc>
            </w:tr>
            <w:tr w:rsidR="00F0027A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7C74D36" w:rsidR="00F0027A" w:rsidRPr="00F0027A" w:rsidRDefault="00F0027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Hasta ve Yaralı Taşıma Teknikleri</w:t>
                  </w:r>
                </w:p>
              </w:tc>
            </w:tr>
            <w:tr w:rsidR="00F0027A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3E9F731" w:rsidR="00F0027A" w:rsidRPr="00F0027A" w:rsidRDefault="00F0027A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sz w:val="20"/>
                      <w:szCs w:val="20"/>
                    </w:rPr>
                    <w:t>Göz, Kulak ve Buruna Yabancı Cisim Kaçması ve Batmasında İlk Yardım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A08548F" w:rsidR="00AE2FFC" w:rsidRPr="00F0027A" w:rsidRDefault="00F0027A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0027A">
                    <w:rPr>
                      <w:rFonts w:ascii="Times New Roman" w:hAnsi="Times New Roman"/>
                      <w:sz w:val="20"/>
                      <w:szCs w:val="20"/>
                    </w:rPr>
                    <w:t>Boğulma ve Yabancı Cisim Varlığında İlk Yardım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0D5DE15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9E0C2F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1F9"/>
    <w:multiLevelType w:val="hybridMultilevel"/>
    <w:tmpl w:val="26C4AC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A12A9"/>
    <w:rsid w:val="001B2588"/>
    <w:rsid w:val="001B4555"/>
    <w:rsid w:val="00206D7B"/>
    <w:rsid w:val="00283568"/>
    <w:rsid w:val="00284643"/>
    <w:rsid w:val="00296B46"/>
    <w:rsid w:val="00297722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6696E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E3EA6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06E22"/>
    <w:rsid w:val="00930D25"/>
    <w:rsid w:val="009341D6"/>
    <w:rsid w:val="0095231C"/>
    <w:rsid w:val="00974855"/>
    <w:rsid w:val="009B50FD"/>
    <w:rsid w:val="009E0C2F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10</cp:revision>
  <dcterms:created xsi:type="dcterms:W3CDTF">2025-10-20T09:52:00Z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