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5C39C9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7B0D04" w:rsidRPr="002A66B4">
              <w:rPr>
                <w:rFonts w:ascii="Times New Roman" w:hAnsi="Times New Roman"/>
              </w:rPr>
              <w:t xml:space="preserve"> </w:t>
            </w:r>
            <w:r w:rsidR="007B0D04" w:rsidRPr="007B0D04">
              <w:rPr>
                <w:b/>
                <w:bCs/>
                <w:sz w:val="20"/>
                <w:szCs w:val="20"/>
              </w:rPr>
              <w:t>ÇOCUK BAKIM VE GENÇLİK HİZMETLERİ</w:t>
            </w:r>
            <w:r w:rsidR="007B0D04" w:rsidRPr="007B0D0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EFF411F" w:rsidR="00867237" w:rsidRPr="00A07762" w:rsidRDefault="007B0D0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</w:t>
            </w:r>
            <w:r w:rsidR="00B7383E">
              <w:rPr>
                <w:sz w:val="20"/>
              </w:rPr>
              <w:t>201</w:t>
            </w:r>
          </w:p>
        </w:tc>
        <w:tc>
          <w:tcPr>
            <w:tcW w:w="2977" w:type="dxa"/>
          </w:tcPr>
          <w:p w14:paraId="1140BF8E" w14:textId="77777777" w:rsidR="007B0D04" w:rsidRDefault="007B0D04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092FB6F" w14:textId="296F216C" w:rsidR="00867237" w:rsidRPr="00A07762" w:rsidRDefault="00B7383E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Korunmaya Gereksinimli 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ocuklar ve Bak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mlar</w:t>
            </w:r>
            <w:r>
              <w:rPr>
                <w:rFonts w:ascii="Times New Roman"/>
                <w:sz w:val="20"/>
              </w:rPr>
              <w:t>ı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00B4E3A9" w:rsidR="00867237" w:rsidRPr="007B0D04" w:rsidRDefault="00867237" w:rsidP="007B0D04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</w:t>
            </w:r>
            <w:r w:rsidR="007B0D04">
              <w:rPr>
                <w:spacing w:val="-2"/>
                <w:sz w:val="20"/>
              </w:rPr>
              <w:t>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C01554B" w:rsidR="00867237" w:rsidRPr="00A07762" w:rsidRDefault="007B0D0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A320C9D" w:rsidR="00867237" w:rsidRPr="00A07762" w:rsidRDefault="007B0D04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632E157F" w:rsidR="00867237" w:rsidRPr="00A07762" w:rsidRDefault="00E87ED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7B0D04">
              <w:rPr>
                <w:sz w:val="20"/>
              </w:rPr>
              <w:t>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0CDCF7B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B0D04">
              <w:rPr>
                <w:sz w:val="20"/>
              </w:rPr>
              <w:t xml:space="preserve">Öğr. Gör. Elif ÖZAYDIN DEMİRBAŞ </w:t>
            </w:r>
            <w:hyperlink r:id="rId5" w:history="1">
              <w:r w:rsidR="007B0D04" w:rsidRPr="0027372B">
                <w:rPr>
                  <w:rStyle w:val="Kpr"/>
                  <w:sz w:val="20"/>
                </w:rPr>
                <w:t>elifozaydindemirbas@aybu.edu.tr</w:t>
              </w:r>
            </w:hyperlink>
            <w:r w:rsidR="007B0D04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1875A4C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7B0D04">
              <w:rPr>
                <w:sz w:val="20"/>
              </w:rPr>
              <w:t xml:space="preserve">Çarşamba 13.00-15.00 Çubuk Yerleşkesi 111 Nolu Oda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6EFE973B" w14:textId="77777777" w:rsidR="001677BE" w:rsidRDefault="00B7383E" w:rsidP="001677BE">
            <w:pPr>
              <w:spacing w:line="276" w:lineRule="auto"/>
              <w:contextualSpacing/>
              <w:rPr>
                <w:rFonts w:ascii="Carlito" w:hAnsi="Carlito"/>
              </w:rPr>
            </w:pPr>
            <w:r w:rsidRPr="00B7383E">
              <w:rPr>
                <w:rFonts w:ascii="Carlito" w:hAnsi="Carlito"/>
              </w:rPr>
              <w:t>Ders kapsamında korunmaya gereksinimli çocuk kavramı, çocukların korunma nedenleri, risk faktörleri, çocuk hakları çerçevesinde bakım ve koruma hizmetleri, kurum bakım modelleri, koruyucu aile ve evlat edinme hizmetleri, bakımda karşılaşılan güçlükle</w:t>
            </w:r>
            <w:r>
              <w:rPr>
                <w:rFonts w:ascii="Carlito" w:hAnsi="Carlito"/>
              </w:rPr>
              <w:t>r</w:t>
            </w:r>
          </w:p>
          <w:p w14:paraId="413F8BE2" w14:textId="110E1DA5" w:rsidR="00B7383E" w:rsidRPr="001677BE" w:rsidRDefault="00B7383E" w:rsidP="001677BE">
            <w:pPr>
              <w:spacing w:line="276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B7383E">
              <w:rPr>
                <w:rFonts w:ascii="Times New Roman" w:hAnsi="Times New Roman" w:cs="Times New Roman"/>
                <w:sz w:val="21"/>
                <w:szCs w:val="21"/>
              </w:rPr>
              <w:t>Bu ders, öğrencilere korunmaya gereksinimli çocukların özelliklerini, yaşadıkları sorunları ve bakım süreçlerini tanıtarak koruyucu, önleyici ve destekleyici hizmetler konusunda bilgi ve beceri kazandırmayı amaçlar.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63FEBA" w:rsidR="00871F5E" w:rsidRPr="00423F35" w:rsidRDefault="007B0D04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Akademisyen notları, </w:t>
            </w:r>
            <w:r w:rsidR="00B7383E" w:rsidRPr="00B7383E">
              <w:rPr>
                <w:iCs/>
                <w:sz w:val="20"/>
              </w:rPr>
              <w:t xml:space="preserve">https://www.mevzuat.gov.tr/MevzuatMetin/1.5.5395.pdf </w:t>
            </w:r>
            <w:hyperlink r:id="rId6" w:history="1">
              <w:r w:rsidR="00B7383E" w:rsidRPr="0027372B">
                <w:rPr>
                  <w:rStyle w:val="Kpr"/>
                  <w:iCs/>
                  <w:sz w:val="20"/>
                </w:rPr>
                <w:t>https://www.mevzuat.gov.tr/mevzuat?MevzuatNo=2828&amp;MevzuatTur=1&amp;MevzuatTertip=5</w:t>
              </w:r>
            </w:hyperlink>
            <w:r w:rsidR="00B7383E">
              <w:rPr>
                <w:iCs/>
                <w:sz w:val="20"/>
              </w:rPr>
              <w:t xml:space="preserve"> </w:t>
            </w:r>
            <w:hyperlink r:id="rId7" w:history="1">
              <w:r w:rsidR="00B7383E" w:rsidRPr="0027372B">
                <w:rPr>
                  <w:rStyle w:val="Kpr"/>
                  <w:iCs/>
                  <w:sz w:val="20"/>
                </w:rPr>
                <w:t>https://megep.meb.gov.tr/mte_program_modul/moduller_pdf/0-36%20Ay%20%C3%96z%20Bak%C4%B1m.pdf</w:t>
              </w:r>
            </w:hyperlink>
            <w:r w:rsidR="00B7383E">
              <w:rPr>
                <w:iCs/>
                <w:sz w:val="20"/>
              </w:rPr>
              <w:t xml:space="preserve"> </w:t>
            </w:r>
            <w:r w:rsidR="00B7383E" w:rsidRPr="00B7383E">
              <w:rPr>
                <w:iCs/>
                <w:sz w:val="20"/>
              </w:rPr>
              <w:t>Deniz, Görak, 2018 Çocuklarda Tuvalet Eğitimi ve Kullanılan Yöntemler</w:t>
            </w:r>
            <w:r w:rsidR="00B7383E">
              <w:rPr>
                <w:iCs/>
                <w:sz w:val="20"/>
              </w:rPr>
              <w:t xml:space="preserve"> 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D47A2C2" w:rsidR="00630C60" w:rsidRPr="00EA0355" w:rsidRDefault="007B0D04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3D319D">
              <w:t>Sunuş ve buluş yoluyla öğretim teknikleri, bireysel ve grup etkinlikleri, soru cevap yöntemi, örnek olay inceleme ve tartışma yöntemi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854C22D" w:rsidR="003D5B92" w:rsidRPr="003D319D" w:rsidRDefault="00B7383E" w:rsidP="00E87ED2">
                  <w:pPr>
                    <w:rPr>
                      <w:rFonts w:ascii="Carlito" w:hAnsi="Carlito"/>
                    </w:rPr>
                  </w:pPr>
                  <w:r w:rsidRPr="00B7383E">
                    <w:rPr>
                      <w:rFonts w:ascii="Carlito" w:hAnsi="Carlito"/>
                    </w:rPr>
                    <w:t>Korunmaya muhtaç çocukların psikososyal özelliklerini tanımla</w:t>
                  </w:r>
                  <w:r>
                    <w:rPr>
                      <w:rFonts w:ascii="Carlito" w:hAnsi="Carlito"/>
                    </w:rPr>
                    <w:t>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EE76697" w:rsidR="003D5B92" w:rsidRPr="003D319D" w:rsidRDefault="00B7383E" w:rsidP="00E87ED2">
                  <w:pPr>
                    <w:rPr>
                      <w:rFonts w:ascii="Carlito" w:hAnsi="Carlito"/>
                    </w:rPr>
                  </w:pPr>
                  <w:r w:rsidRPr="00B7383E">
                    <w:rPr>
                      <w:rFonts w:ascii="Carlito" w:hAnsi="Carlito"/>
                    </w:rPr>
                    <w:t>Korunmaya muhtaç çocukların geldikleri aile özellikleri, maruz kaldıkları yaşam durumlarının çocuklar üzerine etkilerini kavra</w:t>
                  </w:r>
                  <w:r>
                    <w:rPr>
                      <w:rFonts w:ascii="Carlito" w:hAnsi="Carlito"/>
                    </w:rPr>
                    <w:t>r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B5BE3C8" w:rsidR="003D5B92" w:rsidRPr="003D319D" w:rsidRDefault="00B7383E" w:rsidP="007B0D04">
                  <w:pPr>
                    <w:rPr>
                      <w:rFonts w:ascii="Carlito" w:hAnsi="Carlito"/>
                    </w:rPr>
                  </w:pPr>
                  <w:r w:rsidRPr="00B7383E">
                    <w:rPr>
                      <w:rFonts w:ascii="Carlito" w:hAnsi="Carlito"/>
                    </w:rPr>
                    <w:t>Korunmaya muhtaç çocukların gelişimsel gereksinimlerinin desteklenmesine yönelik uygun tutum ve yaklaşımları kavra</w:t>
                  </w:r>
                  <w:r>
                    <w:rPr>
                      <w:rFonts w:ascii="Carlito" w:hAnsi="Carlito"/>
                    </w:rPr>
                    <w:t>r</w:t>
                  </w:r>
                </w:p>
              </w:tc>
            </w:tr>
            <w:tr w:rsidR="00EA52FC" w14:paraId="5592CE83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618BF61" w14:textId="0793B6D0" w:rsidR="00EA52FC" w:rsidRPr="00F13182" w:rsidRDefault="00EA52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3E72CF98" w14:textId="5BD74F4A" w:rsidR="00EA52FC" w:rsidRDefault="00B7383E" w:rsidP="007B0D04">
                  <w:pPr>
                    <w:rPr>
                      <w:rFonts w:ascii="Carlito" w:hAnsi="Carlito"/>
                    </w:rPr>
                  </w:pPr>
                  <w:r w:rsidRPr="00B7383E">
                    <w:rPr>
                      <w:rFonts w:ascii="Carlito" w:hAnsi="Carlito"/>
                    </w:rPr>
                    <w:t>Korunmaya muhtaç çocukların anne baba ve kardeşleri ile iletişim ve bağlarının güvenli bir biçimde sürdürülmesinin ve geliştirilmesinin önemini kavra</w:t>
                  </w:r>
                  <w:r>
                    <w:rPr>
                      <w:rFonts w:ascii="Carlito" w:hAnsi="Carlito"/>
                    </w:rPr>
                    <w:t>r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706912A" w:rsidR="006F7080" w:rsidRDefault="00E460E3" w:rsidP="006F7080">
                  <w:pPr>
                    <w:jc w:val="both"/>
                  </w:pPr>
                  <w:r>
                    <w:t>P1</w:t>
                  </w:r>
                </w:p>
              </w:tc>
              <w:tc>
                <w:tcPr>
                  <w:tcW w:w="8023" w:type="dxa"/>
                </w:tcPr>
                <w:p w14:paraId="7A9B7C94" w14:textId="4767C6EA" w:rsidR="006F7080" w:rsidRDefault="00E460E3" w:rsidP="006F7080">
                  <w:pPr>
                    <w:jc w:val="both"/>
                  </w:pPr>
                  <w:r w:rsidRPr="00E460E3">
                    <w:t>Çocuk Koruma ve Bakım Hizmetleri alanında edindiği temel düzeyde kuramsal ve uygulamalı bilimsel bilgiye sahip olma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A57F9F6" w:rsidR="006F7080" w:rsidRDefault="00E460E3" w:rsidP="006F7080">
                  <w:pPr>
                    <w:jc w:val="both"/>
                  </w:pPr>
                  <w:r>
                    <w:t>P2</w:t>
                  </w:r>
                </w:p>
              </w:tc>
              <w:tc>
                <w:tcPr>
                  <w:tcW w:w="8023" w:type="dxa"/>
                </w:tcPr>
                <w:p w14:paraId="419B927C" w14:textId="11C3B894" w:rsidR="006F7080" w:rsidRDefault="00E460E3" w:rsidP="006F7080">
                  <w:pPr>
                    <w:jc w:val="both"/>
                  </w:pPr>
                  <w:r w:rsidRPr="00E460E3">
                    <w:t>Alanıyla ilgili temel düzeydeki bir projede çalışabilme, bireysel veya ekip içinde sorumluluk alabilme ve karşılaştığı sorunları çözebilme.</w:t>
                  </w:r>
                </w:p>
              </w:tc>
            </w:tr>
            <w:tr w:rsidR="00E87ED2" w14:paraId="671813CD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717065C" w14:textId="5BC52756" w:rsidR="00E87ED2" w:rsidRDefault="00E87ED2" w:rsidP="006F7080">
                  <w:pPr>
                    <w:jc w:val="both"/>
                  </w:pPr>
                  <w:r>
                    <w:t>P3</w:t>
                  </w:r>
                </w:p>
              </w:tc>
              <w:tc>
                <w:tcPr>
                  <w:tcW w:w="8023" w:type="dxa"/>
                </w:tcPr>
                <w:p w14:paraId="495BF022" w14:textId="2D2FE824" w:rsidR="00E87ED2" w:rsidRPr="00E460E3" w:rsidRDefault="00E87ED2" w:rsidP="006F7080">
                  <w:pPr>
                    <w:jc w:val="both"/>
                  </w:pPr>
                  <w:r w:rsidRPr="00E87ED2">
                    <w:t>Toplumsal, bilimsel, kültürel ve mesleki etik değerlerin bilincinde olabilme.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761C299" w:rsidR="006F7080" w:rsidRDefault="00E460E3" w:rsidP="006F7080">
                  <w:pPr>
                    <w:jc w:val="both"/>
                  </w:pPr>
                  <w:r>
                    <w:t>P4</w:t>
                  </w:r>
                </w:p>
              </w:tc>
              <w:tc>
                <w:tcPr>
                  <w:tcW w:w="8023" w:type="dxa"/>
                </w:tcPr>
                <w:p w14:paraId="0B950282" w14:textId="653F6C53" w:rsidR="006F7080" w:rsidRDefault="00E460E3" w:rsidP="006F7080">
                  <w:pPr>
                    <w:jc w:val="both"/>
                  </w:pPr>
                  <w:r w:rsidRPr="00E460E3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E87ED2" w14:paraId="38C3E954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1B5B511" w14:textId="42905B1B" w:rsidR="00E87ED2" w:rsidRDefault="00E87ED2" w:rsidP="006F7080">
                  <w:pPr>
                    <w:jc w:val="both"/>
                  </w:pPr>
                  <w:r>
                    <w:t>P7</w:t>
                  </w:r>
                </w:p>
              </w:tc>
              <w:tc>
                <w:tcPr>
                  <w:tcW w:w="8023" w:type="dxa"/>
                </w:tcPr>
                <w:p w14:paraId="62F05398" w14:textId="79ECDA84" w:rsidR="00E87ED2" w:rsidRPr="00E460E3" w:rsidRDefault="00E87ED2" w:rsidP="006F7080">
                  <w:pPr>
                    <w:jc w:val="both"/>
                  </w:pPr>
                  <w:r w:rsidRPr="00E87ED2">
                    <w:t>Alanıyla ilgili temel düzeydeki bilgi ve becerileri kullanabilme, verileri yorumlayıp değerlendirebilme ve olası sorunları tanımlayıp çözümleyebilm</w:t>
                  </w:r>
                  <w:r>
                    <w:t>e</w:t>
                  </w:r>
                </w:p>
              </w:tc>
            </w:tr>
            <w:tr w:rsidR="00E87ED2" w14:paraId="11218FD9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EE8366" w14:textId="4E888CE9" w:rsidR="00E87ED2" w:rsidRDefault="00E87ED2" w:rsidP="006F7080">
                  <w:pPr>
                    <w:jc w:val="both"/>
                  </w:pPr>
                  <w:r>
                    <w:t>P8</w:t>
                  </w:r>
                </w:p>
              </w:tc>
              <w:tc>
                <w:tcPr>
                  <w:tcW w:w="8023" w:type="dxa"/>
                </w:tcPr>
                <w:p w14:paraId="3933BE8A" w14:textId="5B6FBE0F" w:rsidR="00E87ED2" w:rsidRPr="00E87ED2" w:rsidRDefault="00E87ED2" w:rsidP="006F7080">
                  <w:pPr>
                    <w:jc w:val="both"/>
                  </w:pPr>
                  <w:r w:rsidRPr="00E87ED2">
                    <w:t>Alanıyla ilgili temel mesleki yasal mevzuatı anlayabilme.</w:t>
                  </w:r>
                </w:p>
              </w:tc>
            </w:tr>
            <w:tr w:rsidR="00E87ED2" w14:paraId="27E9C930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56E5E88" w14:textId="7AFEE8F7" w:rsidR="00E87ED2" w:rsidRDefault="00E87ED2" w:rsidP="006F7080">
                  <w:pPr>
                    <w:jc w:val="both"/>
                  </w:pPr>
                  <w:r>
                    <w:t>P9</w:t>
                  </w:r>
                </w:p>
              </w:tc>
              <w:tc>
                <w:tcPr>
                  <w:tcW w:w="8023" w:type="dxa"/>
                </w:tcPr>
                <w:p w14:paraId="562D6E35" w14:textId="697E00FC" w:rsidR="00E87ED2" w:rsidRPr="00E87ED2" w:rsidRDefault="00E87ED2" w:rsidP="006F7080">
                  <w:pPr>
                    <w:jc w:val="both"/>
                  </w:pPr>
                  <w:r w:rsidRPr="00E87ED2">
                    <w:t>Sosyal, kültürel ve hukuksal hak ve sorumluluklara uygun hareket edebilme.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5C6A13FB" w:rsidR="006F7080" w:rsidRDefault="00E460E3" w:rsidP="006F7080">
                  <w:pPr>
                    <w:jc w:val="both"/>
                  </w:pPr>
                  <w:r>
                    <w:t>P10</w:t>
                  </w:r>
                </w:p>
              </w:tc>
              <w:tc>
                <w:tcPr>
                  <w:tcW w:w="8023" w:type="dxa"/>
                </w:tcPr>
                <w:p w14:paraId="4D145F44" w14:textId="402333BA" w:rsidR="006F7080" w:rsidRDefault="00E460E3" w:rsidP="006F7080">
                  <w:pPr>
                    <w:jc w:val="both"/>
                  </w:pPr>
                  <w:r w:rsidRPr="00E460E3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9DED9A3" w:rsidR="006F7080" w:rsidRDefault="00E460E3" w:rsidP="006F7080">
                  <w:pPr>
                    <w:jc w:val="both"/>
                  </w:pPr>
                  <w:r>
                    <w:t>P13</w:t>
                  </w:r>
                </w:p>
              </w:tc>
              <w:tc>
                <w:tcPr>
                  <w:tcW w:w="8023" w:type="dxa"/>
                </w:tcPr>
                <w:p w14:paraId="76CDFDB6" w14:textId="40996585" w:rsidR="006F7080" w:rsidRDefault="00E460E3" w:rsidP="006F7080">
                  <w:pPr>
                    <w:jc w:val="both"/>
                  </w:pPr>
                  <w:r w:rsidRPr="00E460E3">
                    <w:t>Diğer disiplinler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72C5346" w:rsidR="00630C60" w:rsidRPr="00A07762" w:rsidRDefault="00E460E3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Öğrenciler </w:t>
            </w:r>
            <w:r w:rsidR="00B7383E">
              <w:rPr>
                <w:sz w:val="20"/>
              </w:rPr>
              <w:t>korunmaya gereksinimli çocukları tanır bu çocuklara yönelik uygulamaların neler olduğunu açıklar. Korunmaya gereksinimli çocukların ihtiyaçlarına cevap verecek becerileri kazanır. Bu çocukların gelişimsel dönemlerine yönelik bakım uygulamalarını bilir ve açıklar.</w:t>
            </w:r>
            <w:r w:rsidR="00EA52FC">
              <w:rPr>
                <w:sz w:val="20"/>
              </w:rPr>
              <w:t xml:space="preserve"> 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853B233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before="0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Dersin</w:t>
                  </w:r>
                  <w:r w:rsidRPr="004E39F5">
                    <w:rPr>
                      <w:b w:val="0"/>
                      <w:bCs w:val="0"/>
                      <w:spacing w:val="-5"/>
                    </w:rPr>
                    <w:t xml:space="preserve"> </w:t>
                  </w:r>
                  <w:r w:rsidRPr="004E39F5">
                    <w:rPr>
                      <w:b w:val="0"/>
                      <w:bCs w:val="0"/>
                    </w:rPr>
                    <w:t>Tanıtımı</w:t>
                  </w:r>
                  <w:r w:rsidRPr="004E39F5">
                    <w:rPr>
                      <w:b w:val="0"/>
                      <w:bCs w:val="0"/>
                      <w:spacing w:val="-7"/>
                    </w:rPr>
                    <w:t xml:space="preserve">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F819330" w:rsidR="00AE2FFC" w:rsidRPr="003D319D" w:rsidRDefault="00BE5EF8" w:rsidP="00E460E3">
                  <w:pPr>
                    <w:tabs>
                      <w:tab w:val="left" w:pos="861"/>
                    </w:tabs>
                    <w:spacing w:before="19" w:line="276" w:lineRule="auto"/>
                  </w:pPr>
                  <w:r w:rsidRPr="00BE5EF8">
                    <w:t>Çocuk ve çocukluk kavramları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AD7FDDB" w:rsidR="00AE2FFC" w:rsidRPr="003D319D" w:rsidRDefault="00BE5EF8" w:rsidP="00E460E3">
                  <w:pPr>
                    <w:pStyle w:val="Balk1"/>
                    <w:tabs>
                      <w:tab w:val="left" w:pos="355"/>
                    </w:tabs>
                    <w:spacing w:before="24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BE5EF8">
                    <w:rPr>
                      <w:b w:val="0"/>
                      <w:bCs w:val="0"/>
                    </w:rPr>
                    <w:t>Korunmaya gereksinimli çocuk kavramı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8632333" w:rsidR="00AE2FFC" w:rsidRPr="003D319D" w:rsidRDefault="00BE5EF8" w:rsidP="003D319D">
                  <w:pPr>
                    <w:pStyle w:val="Balk1"/>
                    <w:tabs>
                      <w:tab w:val="left" w:pos="355"/>
                    </w:tabs>
                    <w:spacing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BE5EF8">
                    <w:rPr>
                      <w:b w:val="0"/>
                      <w:bCs w:val="0"/>
                    </w:rPr>
                    <w:t>Korunmaya gereksinimli çocuklara yönelik uygulamaların tarihsel gelişimi osmanlı dönemi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F8A7508" w:rsidR="00AE2FFC" w:rsidRPr="003D319D" w:rsidRDefault="00BE5EF8" w:rsidP="00BE5EF8">
                  <w:pPr>
                    <w:pStyle w:val="Balk1"/>
                    <w:tabs>
                      <w:tab w:val="left" w:pos="355"/>
                    </w:tabs>
                    <w:spacing w:before="25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BE5EF8">
                    <w:rPr>
                      <w:b w:val="0"/>
                      <w:bCs w:val="0"/>
                    </w:rPr>
                    <w:t>Korunmaya gereksinimli çocuklara yönelik uygulamaların tarihsel gelişimi cumhuriyet dönemi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4BF4BA0" w:rsidR="00AE2FFC" w:rsidRPr="003D319D" w:rsidRDefault="00BE5EF8" w:rsidP="003D319D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Resmi tatil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83146E4" w:rsidR="00AE2FFC" w:rsidRPr="003D319D" w:rsidRDefault="00BE5EF8" w:rsidP="00AE2FFC">
                  <w:pPr>
                    <w:jc w:val="both"/>
                  </w:pPr>
                  <w:r w:rsidRPr="00BE5EF8">
                    <w:t>Korunmaya gereksinimli çocuklara yönelik uygulamaların tarihsel gelişimi 2000 lerden günümüze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E78F9C7" w:rsidR="00AE2FFC" w:rsidRPr="003D319D" w:rsidRDefault="00BE5EF8" w:rsidP="003D319D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Ara Sınav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D04E4D6" w:rsidR="00AE2FFC" w:rsidRPr="003D319D" w:rsidRDefault="00BE5EF8" w:rsidP="00AE2FFC">
                  <w:pPr>
                    <w:jc w:val="both"/>
                  </w:pPr>
                  <w:r w:rsidRPr="00BE5EF8">
                    <w:t>Korunmaya gereksinimli çocuklara yönelik aile yanında bakım uygulamaları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3D861AD" w:rsidR="00AE2FFC" w:rsidRPr="003D319D" w:rsidRDefault="00BE5EF8" w:rsidP="004E39F5">
                  <w:pPr>
                    <w:pStyle w:val="Balk1"/>
                    <w:tabs>
                      <w:tab w:val="left" w:pos="465"/>
                    </w:tabs>
                    <w:spacing w:before="20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BE5EF8">
                    <w:rPr>
                      <w:b w:val="0"/>
                      <w:bCs w:val="0"/>
                    </w:rPr>
                    <w:t>Korunmaya gereksinimli çocuklara yönelik kurum bakım uygulamaları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7473E2F" w:rsidR="00AE2FFC" w:rsidRPr="003D319D" w:rsidRDefault="00BE5EF8" w:rsidP="00AE2FFC">
                  <w:pPr>
                    <w:jc w:val="both"/>
                  </w:pPr>
                  <w:r w:rsidRPr="00BE5EF8">
                    <w:t>5395 sayılı Çocuk Koruma Kanunu - 2828 Sosyal Hizmet Kanunu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37660DF" w:rsidR="00AE2FFC" w:rsidRPr="003D319D" w:rsidRDefault="00BE5EF8" w:rsidP="00E87ED2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Korunmaya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g</w:t>
                  </w: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ereksinimli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ç</w:t>
                  </w: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ocukların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b</w:t>
                  </w: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akımı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g</w:t>
                  </w: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elişimsel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ö</w:t>
                  </w:r>
                  <w:r w:rsidRPr="00BE5EF8">
                    <w:rPr>
                      <w:rFonts w:ascii="Times New Roman" w:hAnsi="Times New Roman" w:cs="Times New Roman"/>
                      <w:sz w:val="21"/>
                      <w:szCs w:val="21"/>
                    </w:rPr>
                    <w:t>zellikler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810809A" w:rsidR="00AE2FFC" w:rsidRPr="003D319D" w:rsidRDefault="00BE5EF8" w:rsidP="00AE2FFC">
                  <w:pPr>
                    <w:jc w:val="both"/>
                  </w:pPr>
                  <w:r w:rsidRPr="00BE5EF8">
                    <w:t>Korunmaya gereksinimli çocukların özbakımı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C0C360E" w:rsidR="00AE2FFC" w:rsidRPr="003D319D" w:rsidRDefault="00BE5EF8" w:rsidP="00AE2FFC">
                  <w:pPr>
                    <w:jc w:val="both"/>
                  </w:pPr>
                  <w:r w:rsidRPr="00BE5EF8">
                    <w:t xml:space="preserve">Korunmaya </w:t>
                  </w:r>
                  <w:r>
                    <w:t>g</w:t>
                  </w:r>
                  <w:r w:rsidRPr="00BE5EF8">
                    <w:t>ereksinimli çocukların tuvalet eğitimi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06F117F" w:rsidR="00AE2FFC" w:rsidRPr="003D319D" w:rsidRDefault="00BE5EF8" w:rsidP="00BE5EF8">
                  <w:pPr>
                    <w:tabs>
                      <w:tab w:val="left" w:pos="1350"/>
                    </w:tabs>
                    <w:jc w:val="both"/>
                  </w:pPr>
                  <w:r w:rsidRPr="00BE5EF8">
                    <w:t>Ders içeriğine uygun film izleme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DD99E1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4E39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EAAF3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E39F5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B569E6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8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>) ile görüşmeniz önerilir. Ayrıca</w:t>
            </w:r>
            <w:r w:rsidR="0071353E">
              <w:rPr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71353E" w:rsidRPr="0071353E">
              <w:rPr>
                <w:sz w:val="18"/>
                <w:szCs w:val="18"/>
              </w:rPr>
              <w:t xml:space="preserve">Sağlık Hizmetleri Meslek Yüksekokulu </w:t>
            </w:r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3C8"/>
    <w:multiLevelType w:val="hybridMultilevel"/>
    <w:tmpl w:val="23A26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22D1"/>
    <w:multiLevelType w:val="hybridMultilevel"/>
    <w:tmpl w:val="0B4CB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7044"/>
    <w:multiLevelType w:val="hybridMultilevel"/>
    <w:tmpl w:val="09B0FB50"/>
    <w:lvl w:ilvl="0" w:tplc="E146DD36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1166FB5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A3A800BA">
      <w:numFmt w:val="bullet"/>
      <w:lvlText w:val="•"/>
      <w:lvlJc w:val="left"/>
      <w:pPr>
        <w:ind w:left="1756" w:hanging="361"/>
      </w:pPr>
      <w:rPr>
        <w:rFonts w:hint="default"/>
        <w:lang w:val="tr-TR" w:eastAsia="en-US" w:bidi="ar-SA"/>
      </w:rPr>
    </w:lvl>
    <w:lvl w:ilvl="3" w:tplc="4260D328">
      <w:numFmt w:val="bullet"/>
      <w:lvlText w:val="•"/>
      <w:lvlJc w:val="left"/>
      <w:pPr>
        <w:ind w:left="2653" w:hanging="361"/>
      </w:pPr>
      <w:rPr>
        <w:rFonts w:hint="default"/>
        <w:lang w:val="tr-TR" w:eastAsia="en-US" w:bidi="ar-SA"/>
      </w:rPr>
    </w:lvl>
    <w:lvl w:ilvl="4" w:tplc="5A20DBC4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5" w:tplc="9724B3D2">
      <w:numFmt w:val="bullet"/>
      <w:lvlText w:val="•"/>
      <w:lvlJc w:val="left"/>
      <w:pPr>
        <w:ind w:left="4446" w:hanging="361"/>
      </w:pPr>
      <w:rPr>
        <w:rFonts w:hint="default"/>
        <w:lang w:val="tr-TR" w:eastAsia="en-US" w:bidi="ar-SA"/>
      </w:rPr>
    </w:lvl>
    <w:lvl w:ilvl="6" w:tplc="FE000C0C">
      <w:numFmt w:val="bullet"/>
      <w:lvlText w:val="•"/>
      <w:lvlJc w:val="left"/>
      <w:pPr>
        <w:ind w:left="5342" w:hanging="361"/>
      </w:pPr>
      <w:rPr>
        <w:rFonts w:hint="default"/>
        <w:lang w:val="tr-TR" w:eastAsia="en-US" w:bidi="ar-SA"/>
      </w:rPr>
    </w:lvl>
    <w:lvl w:ilvl="7" w:tplc="8C6ED070">
      <w:numFmt w:val="bullet"/>
      <w:lvlText w:val="•"/>
      <w:lvlJc w:val="left"/>
      <w:pPr>
        <w:ind w:left="6239" w:hanging="361"/>
      </w:pPr>
      <w:rPr>
        <w:rFonts w:hint="default"/>
        <w:lang w:val="tr-TR" w:eastAsia="en-US" w:bidi="ar-SA"/>
      </w:rPr>
    </w:lvl>
    <w:lvl w:ilvl="8" w:tplc="0A8C04A4">
      <w:numFmt w:val="bullet"/>
      <w:lvlText w:val="•"/>
      <w:lvlJc w:val="left"/>
      <w:pPr>
        <w:ind w:left="7135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677BE"/>
    <w:rsid w:val="00184E40"/>
    <w:rsid w:val="001B4555"/>
    <w:rsid w:val="00206D7B"/>
    <w:rsid w:val="00284643"/>
    <w:rsid w:val="00296B46"/>
    <w:rsid w:val="002C43F4"/>
    <w:rsid w:val="002D565D"/>
    <w:rsid w:val="00307168"/>
    <w:rsid w:val="003404B8"/>
    <w:rsid w:val="003642A1"/>
    <w:rsid w:val="003D319D"/>
    <w:rsid w:val="003D5B92"/>
    <w:rsid w:val="00416BD3"/>
    <w:rsid w:val="00423F35"/>
    <w:rsid w:val="0043309A"/>
    <w:rsid w:val="00440654"/>
    <w:rsid w:val="00442FAA"/>
    <w:rsid w:val="0048206C"/>
    <w:rsid w:val="004C48BD"/>
    <w:rsid w:val="004E39F5"/>
    <w:rsid w:val="005060AA"/>
    <w:rsid w:val="00574951"/>
    <w:rsid w:val="0057558E"/>
    <w:rsid w:val="005833E5"/>
    <w:rsid w:val="00597347"/>
    <w:rsid w:val="00630C60"/>
    <w:rsid w:val="006339D8"/>
    <w:rsid w:val="00661E39"/>
    <w:rsid w:val="00677D29"/>
    <w:rsid w:val="006F7080"/>
    <w:rsid w:val="0071353E"/>
    <w:rsid w:val="00732FAF"/>
    <w:rsid w:val="00736CCA"/>
    <w:rsid w:val="00793015"/>
    <w:rsid w:val="007B0D04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2E57"/>
    <w:rsid w:val="00A27A75"/>
    <w:rsid w:val="00AB1791"/>
    <w:rsid w:val="00AE2FFC"/>
    <w:rsid w:val="00AF5B8B"/>
    <w:rsid w:val="00B7383E"/>
    <w:rsid w:val="00B75D3B"/>
    <w:rsid w:val="00BA0934"/>
    <w:rsid w:val="00BC180B"/>
    <w:rsid w:val="00BE5EF8"/>
    <w:rsid w:val="00C11CCD"/>
    <w:rsid w:val="00C57A35"/>
    <w:rsid w:val="00C63DB9"/>
    <w:rsid w:val="00CC3B7A"/>
    <w:rsid w:val="00CC7DF4"/>
    <w:rsid w:val="00CD4688"/>
    <w:rsid w:val="00D05418"/>
    <w:rsid w:val="00D26E72"/>
    <w:rsid w:val="00D32D8D"/>
    <w:rsid w:val="00DB0918"/>
    <w:rsid w:val="00DD6DCD"/>
    <w:rsid w:val="00DF0DA0"/>
    <w:rsid w:val="00E460E3"/>
    <w:rsid w:val="00E830CC"/>
    <w:rsid w:val="00E87ED2"/>
    <w:rsid w:val="00E94243"/>
    <w:rsid w:val="00EA0355"/>
    <w:rsid w:val="00EA2E4A"/>
    <w:rsid w:val="00EA52FC"/>
    <w:rsid w:val="00EB0594"/>
    <w:rsid w:val="00EC1DD9"/>
    <w:rsid w:val="00EE3856"/>
    <w:rsid w:val="00F52F22"/>
    <w:rsid w:val="00F90BC9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E460E3"/>
    <w:pPr>
      <w:spacing w:before="19"/>
      <w:ind w:left="355" w:hanging="214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0D04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60E3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bu.edu.tr/engelsiz/i&#231;erik_listesi-327-yildirim-beyazit-universitesi-engelsiz-universite-birimi-yonerge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ep.meb.gov.tr/mte_program_modul/moduller_pdf/0-36%20Ay%20%C3%96z%20Bak%C4%B1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vzuat.gov.tr/mevzuat?MevzuatNo=2828&amp;MevzuatTur=1&amp;MevzuatTertip=5" TargetMode="External"/><Relationship Id="rId5" Type="http://schemas.openxmlformats.org/officeDocument/2006/relationships/hyperlink" Target="mailto:elifozaydindemirbas@aybu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2025-10-17T17:39:00Z</dcterms:created>
  <dcterms:modified xsi:type="dcterms:W3CDTF">2025-11-11T07:35:00Z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