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22FACBD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477BAA">
              <w:rPr>
                <w:b/>
                <w:spacing w:val="-7"/>
                <w:sz w:val="20"/>
                <w:szCs w:val="20"/>
              </w:rPr>
              <w:t xml:space="preserve"> SAĞLIK BAKIM </w:t>
            </w:r>
            <w:proofErr w:type="gramStart"/>
            <w:r w:rsidR="00477BAA">
              <w:rPr>
                <w:b/>
                <w:spacing w:val="-7"/>
                <w:sz w:val="20"/>
                <w:szCs w:val="20"/>
              </w:rPr>
              <w:t>HİZMETLERİ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662124F0" w14:textId="5DDE1050" w:rsidR="00867237" w:rsidRPr="00A07762" w:rsidRDefault="001B206A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YBP</w:t>
            </w:r>
            <w:r w:rsidR="00AB2824">
              <w:rPr>
                <w:sz w:val="20"/>
              </w:rPr>
              <w:t>205</w:t>
            </w:r>
          </w:p>
        </w:tc>
        <w:tc>
          <w:tcPr>
            <w:tcW w:w="2977" w:type="dxa"/>
          </w:tcPr>
          <w:p w14:paraId="41C4888C" w14:textId="7327889C" w:rsidR="00867237" w:rsidRPr="00A07762" w:rsidRDefault="001B206A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Palyatif ve Yaşam Sonu Bakım</w:t>
            </w:r>
          </w:p>
        </w:tc>
        <w:tc>
          <w:tcPr>
            <w:tcW w:w="1276" w:type="dxa"/>
            <w:vAlign w:val="center"/>
          </w:tcPr>
          <w:p w14:paraId="2EDFD95E" w14:textId="5F7DBB08" w:rsidR="00867237" w:rsidRPr="00A07762" w:rsidRDefault="001B206A" w:rsidP="00423F3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4E6ABA60" w:rsidR="00867237" w:rsidRPr="00A07762" w:rsidRDefault="00477BAA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6F7CCB1D" w:rsidR="00867237" w:rsidRPr="00A07762" w:rsidRDefault="00477BAA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73CCE431" w:rsidR="00867237" w:rsidRPr="00A07762" w:rsidRDefault="00477BAA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7A3E1CE4" w14:textId="77777777" w:rsidR="000441DB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477BAA">
              <w:rPr>
                <w:sz w:val="20"/>
              </w:rPr>
              <w:t>Öğr</w:t>
            </w:r>
            <w:proofErr w:type="spellEnd"/>
            <w:r w:rsidR="00477BAA">
              <w:rPr>
                <w:sz w:val="20"/>
              </w:rPr>
              <w:t>. Gör. Dr. Burcu ÇALIK BAĞRIYANIK</w:t>
            </w:r>
          </w:p>
          <w:p w14:paraId="1ABCB78D" w14:textId="1660EC95" w:rsidR="00477BAA" w:rsidRPr="00EA0355" w:rsidRDefault="00477BAA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bcalik.bagriyanik</w:t>
            </w:r>
            <w:r w:rsidR="00C7415B" w:rsidRPr="00C7415B">
              <w:rPr>
                <w:sz w:val="20"/>
              </w:rPr>
              <w:t>@</w:t>
            </w:r>
            <w:r w:rsidR="00C7415B">
              <w:rPr>
                <w:sz w:val="20"/>
              </w:rPr>
              <w:t>aybu.</w:t>
            </w:r>
            <w:r>
              <w:rPr>
                <w:sz w:val="20"/>
              </w:rPr>
              <w:t>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60A9879C" w14:textId="77777777" w:rsidR="00867237" w:rsidRDefault="00867237" w:rsidP="00477BAA">
            <w:pPr>
              <w:pStyle w:val="TableParagraph"/>
              <w:jc w:val="both"/>
              <w:rPr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477BAA">
              <w:rPr>
                <w:sz w:val="20"/>
              </w:rPr>
              <w:t>Pazartesi 12.00-13.00</w:t>
            </w:r>
          </w:p>
          <w:p w14:paraId="38565D81" w14:textId="0D7DB05C" w:rsidR="00477BAA" w:rsidRPr="00A07762" w:rsidRDefault="00477BAA" w:rsidP="00477BAA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Salı 12.00-13.00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25924664" w14:textId="77777777" w:rsidR="0057396D" w:rsidRPr="00C7415B" w:rsidRDefault="0057396D" w:rsidP="0057396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br/>
            </w:r>
            <w:r w:rsidRPr="00C7415B">
              <w:rPr>
                <w:rFonts w:ascii="Open Sans" w:hAnsi="Open Sans" w:cs="Tahoma"/>
                <w:sz w:val="20"/>
                <w:szCs w:val="20"/>
              </w:rPr>
              <w:t>P</w:t>
            </w:r>
            <w:r w:rsidRPr="00C7415B">
              <w:rPr>
                <w:rFonts w:cstheme="minorHAnsi"/>
                <w:sz w:val="20"/>
                <w:szCs w:val="20"/>
              </w:rPr>
              <w:t xml:space="preserve">alyatif bakım sürecinde hasta ve ailesinde fiziksel, psikiyatrik, manevi, </w:t>
            </w:r>
            <w:proofErr w:type="gramStart"/>
            <w:r w:rsidRPr="00C7415B">
              <w:rPr>
                <w:rFonts w:cstheme="minorHAnsi"/>
                <w:sz w:val="20"/>
                <w:szCs w:val="20"/>
              </w:rPr>
              <w:t>sosyal,</w:t>
            </w:r>
            <w:proofErr w:type="gramEnd"/>
            <w:r w:rsidRPr="00C7415B">
              <w:rPr>
                <w:rFonts w:cstheme="minorHAnsi"/>
                <w:sz w:val="20"/>
                <w:szCs w:val="20"/>
              </w:rPr>
              <w:t xml:space="preserve"> ve ekonomik sorunların tanımlanması, bakım süreci, yas dönemiyle etkin baş etme yöntemlerinin uygulanmasında gerekli bilgi ve beceriyi kazandırmaktır.</w:t>
            </w:r>
          </w:p>
          <w:p w14:paraId="413F8BE2" w14:textId="1AC41C17" w:rsidR="00630C60" w:rsidRPr="00A07762" w:rsidRDefault="00630C60" w:rsidP="009B50FD">
            <w:pPr>
              <w:pStyle w:val="TableParagraph"/>
              <w:spacing w:before="54"/>
              <w:jc w:val="both"/>
              <w:rPr>
                <w:sz w:val="20"/>
              </w:rPr>
            </w:pP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71B449DE" w:rsidR="00871F5E" w:rsidRPr="00423F35" w:rsidRDefault="00477BAA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Öğr</w:t>
            </w:r>
            <w:proofErr w:type="spellEnd"/>
            <w:r>
              <w:rPr>
                <w:iCs/>
                <w:sz w:val="20"/>
              </w:rPr>
              <w:t>. Elemanı ders notları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357DEC00" w14:textId="3CA23424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Sunu-Anlatım</w:t>
            </w:r>
          </w:p>
          <w:p w14:paraId="35B7113C" w14:textId="5017A0C6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Soru-Cevap</w:t>
            </w:r>
          </w:p>
          <w:p w14:paraId="63983B58" w14:textId="357FA971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Tartışma</w:t>
            </w:r>
          </w:p>
          <w:p w14:paraId="7D9421E6" w14:textId="5304BBE0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Gösterip Yaptırma-Uygulama</w:t>
            </w:r>
          </w:p>
          <w:p w14:paraId="45F5FE5D" w14:textId="77777777" w:rsidR="00630C60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14:paraId="008A3926" w14:textId="35ACEC67" w:rsidR="00477BAA" w:rsidRPr="00EA0355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1FA00199" w:rsidR="003D5B92" w:rsidRPr="0057396D" w:rsidRDefault="0057396D" w:rsidP="003D5B92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57396D">
                    <w:rPr>
                      <w:sz w:val="20"/>
                      <w:szCs w:val="20"/>
                    </w:rPr>
                    <w:t>Palytif</w:t>
                  </w:r>
                  <w:proofErr w:type="spellEnd"/>
                  <w:r w:rsidRPr="0057396D">
                    <w:rPr>
                      <w:sz w:val="20"/>
                      <w:szCs w:val="20"/>
                    </w:rPr>
                    <w:t xml:space="preserve"> bakım sürecinde hasta ve ailesine etkin baş etm</w:t>
                  </w:r>
                  <w:r>
                    <w:rPr>
                      <w:sz w:val="20"/>
                      <w:szCs w:val="20"/>
                    </w:rPr>
                    <w:t>e yöntemlerinin belirler.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A9007A9" w:rsidR="003D5B92" w:rsidRPr="0057396D" w:rsidRDefault="0057396D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57396D">
                    <w:rPr>
                      <w:sz w:val="20"/>
                      <w:szCs w:val="20"/>
                    </w:rPr>
                    <w:t xml:space="preserve">Palyatif bakım gereken hasta ve ailesinde fiziksel </w:t>
                  </w:r>
                  <w:proofErr w:type="gramStart"/>
                  <w:r w:rsidRPr="0057396D">
                    <w:rPr>
                      <w:sz w:val="20"/>
                      <w:szCs w:val="20"/>
                    </w:rPr>
                    <w:t>semptomların</w:t>
                  </w:r>
                  <w:proofErr w:type="gramEnd"/>
                  <w:r w:rsidRPr="0057396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396D">
                    <w:rPr>
                      <w:sz w:val="20"/>
                      <w:szCs w:val="20"/>
                    </w:rPr>
                    <w:t>değerlendir</w:t>
                  </w:r>
                  <w:r>
                    <w:rPr>
                      <w:sz w:val="20"/>
                      <w:szCs w:val="20"/>
                    </w:rPr>
                    <w:t>irir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ve kontrolünü sağlar.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3F0F10" w:rsidRDefault="006F7080" w:rsidP="006F7080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 w:rsidRPr="003F0F10">
              <w:rPr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3F0F10" w:rsidRPr="003F0F1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5E477CCF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419B927C" w14:textId="778C06D5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Yaşlı bakımı alanındaki temel bilimsel bilgiye ulaşma, değerlendirme ve uygulayabilme bilgisine sahiptir</w:t>
                  </w:r>
                </w:p>
              </w:tc>
            </w:tr>
            <w:tr w:rsidR="003F0F10" w:rsidRPr="003F0F1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1EF2053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0B950282" w14:textId="5DB7EF3C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Yaşlı Bakım alanında edindiği temel düzeydeki bilgi ve becerileri kullanarak verileri yorumlar ve değerlendirir, sorunları tanımlar, analiz eder ve çözüm için planlanan çalışmalarda yer/sorumluluk alır.</w:t>
                  </w:r>
                </w:p>
              </w:tc>
            </w:tr>
            <w:tr w:rsidR="003F0F10" w:rsidRPr="003F0F1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461BDE4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4D145F44" w14:textId="64BEBFA6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Yaşlı Bakım alanı ile ilgili sahip olduğu temel bilgi birikimini kullanarak verilen bir görevi bağımsız olarak yürütür.</w:t>
                  </w:r>
                </w:p>
              </w:tc>
            </w:tr>
            <w:tr w:rsidR="003F0F10" w:rsidRPr="003F0F1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04CB2BD5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76CDFDB6" w14:textId="015D4CC5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Öğrenme gereksinimlerini belirleyebilme ve öğrenmesini yönlendirir.</w:t>
                  </w:r>
                </w:p>
              </w:tc>
            </w:tr>
            <w:tr w:rsidR="003F0F10" w:rsidRPr="003F0F10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356D27E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316F8ECE" w14:textId="64D61D10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Yaşlı Bakım alanı ile ilgili konularda sahip olduğu temel bilgi ve becerileri kullanarak ilgili kişi ve kurumları bilgilendirir, düşüncelerini ve sorunlara ilişkin çözüm önerilerini yazılı ve sözlü olarak aktarır.</w:t>
                  </w:r>
                </w:p>
              </w:tc>
            </w:tr>
            <w:tr w:rsidR="003F0F10" w:rsidRPr="003F0F10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0525ECC5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224CB1A7" w14:textId="1AF90202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Yaşlı Bakım alanında edindiği temel düzeydeki bilgi ve becerileri eleştirel bir yaklaşımla değerlendirir.</w:t>
                  </w:r>
                </w:p>
              </w:tc>
            </w:tr>
            <w:tr w:rsidR="003F0F10" w:rsidRPr="003F0F10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5DCEC24B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3" w:type="dxa"/>
                </w:tcPr>
                <w:p w14:paraId="15EAB685" w14:textId="6000A098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Yaşlı Bakım alanı ile ilgili uygulamalarda karşılaşılan ve öngörülemeyen karmaşık sorunları çözmek için ekip üyesi olarak çalışır.</w:t>
                  </w:r>
                </w:p>
              </w:tc>
            </w:tr>
            <w:tr w:rsidR="003F0F10" w:rsidRPr="003F0F10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131DCFE6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23" w:type="dxa"/>
                </w:tcPr>
                <w:p w14:paraId="2FBD6116" w14:textId="79BD5483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Yaşlı Bakım alanı ile ilgili temel bilgisayar programlarını ve ilgili teknolojileri kullanır.</w:t>
                  </w:r>
                </w:p>
              </w:tc>
            </w:tr>
            <w:tr w:rsidR="003F0F10" w:rsidRPr="003F0F10" w14:paraId="17E5CDDA" w14:textId="77777777" w:rsidTr="003F0F10">
              <w:trPr>
                <w:trHeight w:val="97"/>
              </w:trPr>
              <w:tc>
                <w:tcPr>
                  <w:tcW w:w="1054" w:type="dxa"/>
                </w:tcPr>
                <w:p w14:paraId="60C100BF" w14:textId="6F601B00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23" w:type="dxa"/>
                </w:tcPr>
                <w:p w14:paraId="6746883F" w14:textId="54F8C11D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 xml:space="preserve">Yaşlı Bakım alanı ile ilgili konularda düşüncelerini ve sorunlara ilişkin çözüm önerilerini uzman </w:t>
                  </w:r>
                  <w:r w:rsidRPr="003F0F10">
                    <w:rPr>
                      <w:sz w:val="20"/>
                      <w:szCs w:val="20"/>
                    </w:rPr>
                    <w:lastRenderedPageBreak/>
                    <w:t>olan ve olmayan kişilerle paylaşır.</w:t>
                  </w:r>
                </w:p>
              </w:tc>
            </w:tr>
            <w:tr w:rsidR="003F0F10" w:rsidRPr="003F0F10" w14:paraId="42DEEFA6" w14:textId="77777777" w:rsidTr="003F0F10">
              <w:trPr>
                <w:trHeight w:val="97"/>
              </w:trPr>
              <w:tc>
                <w:tcPr>
                  <w:tcW w:w="1054" w:type="dxa"/>
                </w:tcPr>
                <w:p w14:paraId="6D9351A4" w14:textId="4A7842A2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8023" w:type="dxa"/>
                </w:tcPr>
                <w:p w14:paraId="47AFEB33" w14:textId="02F23262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Kalite yönetimi ve süreçlerine uygun davranır ve bu süreçlere katılır.</w:t>
                  </w:r>
                </w:p>
              </w:tc>
            </w:tr>
            <w:tr w:rsidR="003F0F10" w:rsidRPr="003F0F10" w14:paraId="42AF6FFC" w14:textId="77777777" w:rsidTr="003F0F10">
              <w:trPr>
                <w:trHeight w:val="97"/>
              </w:trPr>
              <w:tc>
                <w:tcPr>
                  <w:tcW w:w="1054" w:type="dxa"/>
                </w:tcPr>
                <w:p w14:paraId="7D9C9143" w14:textId="7A1C6ED6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023" w:type="dxa"/>
                </w:tcPr>
                <w:p w14:paraId="7A7DAEFF" w14:textId="20838630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Birey ve halk sağlığı, çevre koruma ve iş güvenliği konularında yeterli bilince sahiptir.</w:t>
                  </w:r>
                </w:p>
              </w:tc>
            </w:tr>
            <w:tr w:rsidR="003F0F10" w:rsidRPr="003F0F10" w14:paraId="663B6DA3" w14:textId="77777777" w:rsidTr="003F0F10">
              <w:trPr>
                <w:trHeight w:val="97"/>
              </w:trPr>
              <w:tc>
                <w:tcPr>
                  <w:tcW w:w="1054" w:type="dxa"/>
                </w:tcPr>
                <w:p w14:paraId="72A2E634" w14:textId="1C5963AD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023" w:type="dxa"/>
                </w:tcPr>
                <w:p w14:paraId="6E6650EC" w14:textId="70BF95D6" w:rsidR="003F0F10" w:rsidRPr="003F0F10" w:rsidRDefault="003F0F10" w:rsidP="003F0F10">
                  <w:pPr>
                    <w:jc w:val="both"/>
                    <w:rPr>
                      <w:sz w:val="20"/>
                      <w:szCs w:val="20"/>
                    </w:rPr>
                  </w:pPr>
                  <w:r w:rsidRPr="003F0F10">
                    <w:rPr>
                      <w:sz w:val="20"/>
                      <w:szCs w:val="20"/>
                    </w:rPr>
                    <w:t>Birey olarak görev, hak ve sorumlulukları ile ilgili yasa, yönetmelik, mevzuata ve mesleki etik kurallarına uygun davranır.</w:t>
                  </w:r>
                </w:p>
              </w:tc>
            </w:tr>
            <w:tr w:rsidR="00F6704B" w:rsidRPr="003F0F10" w14:paraId="011F0A5F" w14:textId="77777777" w:rsidTr="003F0F10">
              <w:trPr>
                <w:trHeight w:val="97"/>
              </w:trPr>
              <w:tc>
                <w:tcPr>
                  <w:tcW w:w="1054" w:type="dxa"/>
                </w:tcPr>
                <w:p w14:paraId="10E9E274" w14:textId="41881FBA" w:rsidR="00F6704B" w:rsidRPr="003F0F10" w:rsidRDefault="00F6704B" w:rsidP="00F6704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023" w:type="dxa"/>
                </w:tcPr>
                <w:p w14:paraId="77A1469E" w14:textId="537A2967" w:rsidR="00F6704B" w:rsidRPr="00F6704B" w:rsidRDefault="00F6704B" w:rsidP="00F6704B">
                  <w:pPr>
                    <w:jc w:val="both"/>
                    <w:rPr>
                      <w:sz w:val="20"/>
                      <w:szCs w:val="20"/>
                    </w:rPr>
                  </w:pPr>
                  <w:r w:rsidRPr="00F6704B">
                    <w:rPr>
                      <w:sz w:val="20"/>
                      <w:szCs w:val="20"/>
                    </w:rPr>
                    <w:t>Yaşam boyu öğrenme bilincine sahiptir.</w:t>
                  </w:r>
                </w:p>
              </w:tc>
            </w:tr>
            <w:tr w:rsidR="00F6704B" w:rsidRPr="003F0F10" w14:paraId="758D4A27" w14:textId="77777777" w:rsidTr="003F0F10">
              <w:trPr>
                <w:trHeight w:val="97"/>
              </w:trPr>
              <w:tc>
                <w:tcPr>
                  <w:tcW w:w="1054" w:type="dxa"/>
                </w:tcPr>
                <w:p w14:paraId="1E90E193" w14:textId="17E79C68" w:rsidR="00F6704B" w:rsidRPr="003F0F10" w:rsidRDefault="00F6704B" w:rsidP="00F6704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023" w:type="dxa"/>
                </w:tcPr>
                <w:p w14:paraId="372A8717" w14:textId="10933D8C" w:rsidR="00F6704B" w:rsidRPr="00F6704B" w:rsidRDefault="00F6704B" w:rsidP="00F6704B">
                  <w:pPr>
                    <w:jc w:val="both"/>
                    <w:rPr>
                      <w:sz w:val="20"/>
                      <w:szCs w:val="20"/>
                    </w:rPr>
                  </w:pPr>
                  <w:r w:rsidRPr="00F6704B">
                    <w:rPr>
                      <w:sz w:val="20"/>
                      <w:szCs w:val="20"/>
                    </w:rPr>
                    <w:t>Yaşlı Bakım alanı ile ilgili konularda düşüncelerini ve sorunlara ilişkin çözüm önerilerini uzman olan ve olmayan kişilerle paylaşır.</w:t>
                  </w:r>
                </w:p>
              </w:tc>
            </w:tr>
          </w:tbl>
          <w:p w14:paraId="04E5F6F6" w14:textId="25BF1690" w:rsidR="00732FAF" w:rsidRPr="003F0F10" w:rsidRDefault="00732FAF" w:rsidP="009B50FD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46CB7578" w14:textId="77777777" w:rsidR="00630C60" w:rsidRDefault="00EE1B6B" w:rsidP="00EE1B6B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EE1B6B">
              <w:rPr>
                <w:sz w:val="20"/>
              </w:rPr>
              <w:t xml:space="preserve">Öğrenciler, yaşam sonu sürecinde hastanın fiziksel, psikolojik, sosyal ve manevi gereksinimlerini bütüncül </w:t>
            </w:r>
            <w:r>
              <w:rPr>
                <w:sz w:val="20"/>
              </w:rPr>
              <w:t xml:space="preserve">olarak değerlendirmeyi öğrenir. </w:t>
            </w:r>
            <w:r w:rsidRPr="00EE1B6B">
              <w:rPr>
                <w:sz w:val="20"/>
              </w:rPr>
              <w:t>Bu bilgi, onların hasta merkezli ve insancıl bir bakım anlayışı geliştirmelerini sağlar</w:t>
            </w:r>
            <w:r>
              <w:rPr>
                <w:sz w:val="20"/>
              </w:rPr>
              <w:t>.</w:t>
            </w:r>
          </w:p>
          <w:p w14:paraId="2F887892" w14:textId="77777777" w:rsidR="00EE1B6B" w:rsidRDefault="00EE1B6B" w:rsidP="00EE1B6B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EE1B6B">
              <w:rPr>
                <w:sz w:val="20"/>
              </w:rPr>
              <w:t xml:space="preserve">Palyatif bakım süreci duygusal açıdan zorlayıcıdır. Bu ders, öğrencilerin </w:t>
            </w:r>
            <w:proofErr w:type="gramStart"/>
            <w:r w:rsidRPr="00EE1B6B">
              <w:rPr>
                <w:sz w:val="20"/>
              </w:rPr>
              <w:t>empati</w:t>
            </w:r>
            <w:proofErr w:type="gramEnd"/>
            <w:r w:rsidRPr="00EE1B6B">
              <w:rPr>
                <w:sz w:val="20"/>
              </w:rPr>
              <w:t xml:space="preserve"> kurma, duygusal farkındalık kazanma ve yas süreciyle baş etme becerilerini geliştirir.</w:t>
            </w:r>
            <w:r>
              <w:rPr>
                <w:sz w:val="20"/>
              </w:rPr>
              <w:t xml:space="preserve"> </w:t>
            </w:r>
            <w:r w:rsidRPr="00EE1B6B">
              <w:rPr>
                <w:sz w:val="20"/>
              </w:rPr>
              <w:t>Böylece öğrenciler, hem kendilerini hem bakım verdikleri bireyleri duygusal olarak destekleyebilirler.</w:t>
            </w:r>
          </w:p>
          <w:p w14:paraId="27278B09" w14:textId="5E3FDB6D" w:rsidR="00C51190" w:rsidRPr="00C51190" w:rsidRDefault="00C51190" w:rsidP="00C51190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C51190">
              <w:rPr>
                <w:sz w:val="20"/>
              </w:rPr>
              <w:t xml:space="preserve">Öğrenciler, </w:t>
            </w:r>
            <w:proofErr w:type="gramStart"/>
            <w:r w:rsidRPr="00C51190">
              <w:rPr>
                <w:sz w:val="20"/>
              </w:rPr>
              <w:t>palyatif</w:t>
            </w:r>
            <w:proofErr w:type="gramEnd"/>
            <w:r w:rsidRPr="00C51190">
              <w:rPr>
                <w:sz w:val="20"/>
              </w:rPr>
              <w:t xml:space="preserve"> bakım sürecinde hasta ve aileyle açık, güven verici iletişim kurmayı öğrenir.</w:t>
            </w:r>
            <w:r>
              <w:rPr>
                <w:sz w:val="20"/>
              </w:rPr>
              <w:t xml:space="preserve"> </w:t>
            </w:r>
            <w:r w:rsidRPr="00C51190">
              <w:rPr>
                <w:sz w:val="20"/>
              </w:rPr>
              <w:t>Ayrıca, sağlık ekibiyle işbirliği içinde koordineli bakım sunma becerisi kazanırlar.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73C8A6C1" w:rsidR="00AE2FFC" w:rsidRPr="001B206A" w:rsidRDefault="001B206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1B206A">
                    <w:rPr>
                      <w:sz w:val="20"/>
                      <w:szCs w:val="20"/>
                    </w:rPr>
                    <w:t>Palyatif bakımla ilgili temel kavramlar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0FF9ABE8" w:rsidR="00AE2FFC" w:rsidRPr="001B206A" w:rsidRDefault="001B206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1B206A">
                    <w:rPr>
                      <w:sz w:val="20"/>
                      <w:szCs w:val="20"/>
                    </w:rPr>
                    <w:t xml:space="preserve">Dünyada ve ülkemizde </w:t>
                  </w:r>
                  <w:proofErr w:type="gramStart"/>
                  <w:r w:rsidR="00C7415B">
                    <w:rPr>
                      <w:sz w:val="20"/>
                      <w:szCs w:val="20"/>
                    </w:rPr>
                    <w:t>p</w:t>
                  </w:r>
                  <w:r w:rsidRPr="001B206A">
                    <w:rPr>
                      <w:sz w:val="20"/>
                      <w:szCs w:val="20"/>
                    </w:rPr>
                    <w:t>alyatif</w:t>
                  </w:r>
                  <w:proofErr w:type="gramEnd"/>
                  <w:r w:rsidRPr="001B206A">
                    <w:rPr>
                      <w:sz w:val="20"/>
                      <w:szCs w:val="20"/>
                    </w:rPr>
                    <w:t xml:space="preserve"> </w:t>
                  </w:r>
                  <w:r w:rsidR="00C7415B">
                    <w:rPr>
                      <w:sz w:val="20"/>
                      <w:szCs w:val="20"/>
                    </w:rPr>
                    <w:t>ba</w:t>
                  </w:r>
                  <w:r w:rsidRPr="001B206A">
                    <w:rPr>
                      <w:sz w:val="20"/>
                      <w:szCs w:val="20"/>
                    </w:rPr>
                    <w:t>kım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3CE37EA9" w:rsidR="00AE2FFC" w:rsidRPr="001B206A" w:rsidRDefault="001B206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Palyatif bakım m</w:t>
                  </w:r>
                  <w:r w:rsidRPr="001B206A">
                    <w:rPr>
                      <w:sz w:val="20"/>
                      <w:szCs w:val="20"/>
                    </w:rPr>
                    <w:t>odelleri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3DABB757" w:rsidR="00AE2FFC" w:rsidRPr="001B206A" w:rsidRDefault="001B206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1B206A">
                    <w:rPr>
                      <w:sz w:val="20"/>
                      <w:szCs w:val="20"/>
                    </w:rPr>
                    <w:t>Palyatif bakım gereken hasta ve ailesinde yaşam sonu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77DC1700" w:rsidR="00AE2FFC" w:rsidRPr="001B206A" w:rsidRDefault="001B206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1B206A">
                    <w:rPr>
                      <w:sz w:val="20"/>
                      <w:szCs w:val="20"/>
                    </w:rPr>
                    <w:t>Palyatif bakıma ihtiyacı olan hastanın sürecini planlama, uygulama ve değerlendirme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65CE364E" w:rsidR="00AE2FFC" w:rsidRPr="001B206A" w:rsidRDefault="001B206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1B206A">
                    <w:rPr>
                      <w:sz w:val="20"/>
                      <w:szCs w:val="20"/>
                    </w:rPr>
                    <w:t>Palyatif bakım gereken hasta ve ailesinde manevi, sosyal ve ekonomik sorunların belirlenmesi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37AA4580" w:rsidR="00AE2FFC" w:rsidRPr="001B206A" w:rsidRDefault="001B206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1B206A">
                    <w:rPr>
                      <w:sz w:val="20"/>
                      <w:szCs w:val="20"/>
                    </w:rPr>
                    <w:t xml:space="preserve">Palyatif bakım gereken hasta ve ailesinde fiziksel </w:t>
                  </w:r>
                  <w:proofErr w:type="gramStart"/>
                  <w:r w:rsidRPr="001B206A">
                    <w:rPr>
                      <w:sz w:val="20"/>
                      <w:szCs w:val="20"/>
                    </w:rPr>
                    <w:t>semptomların</w:t>
                  </w:r>
                  <w:proofErr w:type="gramEnd"/>
                  <w:r w:rsidRPr="001B206A">
                    <w:rPr>
                      <w:sz w:val="20"/>
                      <w:szCs w:val="20"/>
                    </w:rPr>
                    <w:t xml:space="preserve"> değerlendirilmesi ve kontrolü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1B206A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1B206A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5EFDFD88" w:rsidR="00AE2FFC" w:rsidRPr="001B206A" w:rsidRDefault="001B206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1B206A">
                    <w:rPr>
                      <w:sz w:val="20"/>
                      <w:szCs w:val="20"/>
                    </w:rPr>
                    <w:t xml:space="preserve">Ağrısı olan hastada </w:t>
                  </w:r>
                  <w:proofErr w:type="gramStart"/>
                  <w:r w:rsidRPr="001B206A">
                    <w:rPr>
                      <w:sz w:val="20"/>
                      <w:szCs w:val="20"/>
                    </w:rPr>
                    <w:t>semptom</w:t>
                  </w:r>
                  <w:proofErr w:type="gramEnd"/>
                  <w:r w:rsidRPr="001B206A">
                    <w:rPr>
                      <w:sz w:val="20"/>
                      <w:szCs w:val="20"/>
                    </w:rPr>
                    <w:t xml:space="preserve"> yönetimi</w:t>
                  </w:r>
                </w:p>
              </w:tc>
            </w:tr>
            <w:tr w:rsidR="00F0027A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3AB15219" w:rsidR="00F0027A" w:rsidRPr="001B206A" w:rsidRDefault="001B206A" w:rsidP="00F0027A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1B206A">
                    <w:rPr>
                      <w:sz w:val="20"/>
                      <w:szCs w:val="20"/>
                    </w:rPr>
                    <w:t>Dispnesi</w:t>
                  </w:r>
                  <w:proofErr w:type="spellEnd"/>
                  <w:r w:rsidRPr="001B206A">
                    <w:rPr>
                      <w:sz w:val="20"/>
                      <w:szCs w:val="20"/>
                    </w:rPr>
                    <w:t xml:space="preserve"> olan hastada </w:t>
                  </w:r>
                  <w:proofErr w:type="gramStart"/>
                  <w:r w:rsidRPr="001B206A">
                    <w:rPr>
                      <w:sz w:val="20"/>
                      <w:szCs w:val="20"/>
                    </w:rPr>
                    <w:t>semptom</w:t>
                  </w:r>
                  <w:proofErr w:type="gramEnd"/>
                  <w:r w:rsidRPr="001B206A">
                    <w:rPr>
                      <w:sz w:val="20"/>
                      <w:szCs w:val="20"/>
                    </w:rPr>
                    <w:t xml:space="preserve"> yönetim, Bulantı kusmada semptom yönetimi, </w:t>
                  </w:r>
                  <w:proofErr w:type="spellStart"/>
                  <w:r w:rsidRPr="001B206A">
                    <w:rPr>
                      <w:sz w:val="20"/>
                      <w:szCs w:val="20"/>
                    </w:rPr>
                    <w:t>Konstipasyon</w:t>
                  </w:r>
                  <w:proofErr w:type="spellEnd"/>
                  <w:r w:rsidRPr="001B206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206A">
                    <w:rPr>
                      <w:sz w:val="20"/>
                      <w:szCs w:val="20"/>
                    </w:rPr>
                    <w:t>diyare</w:t>
                  </w:r>
                  <w:proofErr w:type="spellEnd"/>
                  <w:r w:rsidRPr="001B206A">
                    <w:rPr>
                      <w:sz w:val="20"/>
                      <w:szCs w:val="20"/>
                    </w:rPr>
                    <w:t xml:space="preserve"> semptom yönetimi, Kaşeksi ve semptom yönetimi</w:t>
                  </w:r>
                </w:p>
              </w:tc>
            </w:tr>
            <w:tr w:rsidR="00F0027A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021FC6DE" w:rsidR="00F0027A" w:rsidRPr="001B206A" w:rsidRDefault="001B206A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1B206A">
                    <w:rPr>
                      <w:sz w:val="20"/>
                      <w:szCs w:val="20"/>
                    </w:rPr>
                    <w:t>Yaşam kalitesi ve değerlendirilmesi</w:t>
                  </w:r>
                </w:p>
              </w:tc>
            </w:tr>
            <w:tr w:rsidR="00F0027A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50EFCB77" w:rsidR="00F0027A" w:rsidRPr="001B206A" w:rsidRDefault="001B206A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1B206A">
                    <w:rPr>
                      <w:sz w:val="20"/>
                      <w:szCs w:val="20"/>
                    </w:rPr>
                    <w:t>Terminal dönemdeki yaşlının bakımı</w:t>
                  </w:r>
                </w:p>
              </w:tc>
            </w:tr>
            <w:tr w:rsidR="00F0027A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13145E11" w:rsidR="00F0027A" w:rsidRPr="001B206A" w:rsidRDefault="001B206A" w:rsidP="00F0027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Yas, kayıp ve yoksunluk kavramları, yas tipleri, yas evreleri, y</w:t>
                  </w:r>
                  <w:r w:rsidRPr="001B206A">
                    <w:rPr>
                      <w:sz w:val="20"/>
                      <w:szCs w:val="20"/>
                    </w:rPr>
                    <w:t>asın</w:t>
                  </w:r>
                  <w:r>
                    <w:rPr>
                      <w:sz w:val="20"/>
                      <w:szCs w:val="20"/>
                    </w:rPr>
                    <w:t xml:space="preserve"> d</w:t>
                  </w:r>
                  <w:r w:rsidRPr="001B206A">
                    <w:rPr>
                      <w:sz w:val="20"/>
                      <w:szCs w:val="20"/>
                    </w:rPr>
                    <w:t>eğerlendirilmesi</w:t>
                  </w:r>
                </w:p>
              </w:tc>
            </w:tr>
            <w:tr w:rsidR="00F0027A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6B7DDE3D" w:rsidR="00F0027A" w:rsidRPr="001B206A" w:rsidRDefault="001B206A" w:rsidP="00F0027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Yaşamın sonunda hasta ve aile ile İletişim ve kültürel y</w:t>
                  </w:r>
                  <w:r w:rsidRPr="001B206A">
                    <w:rPr>
                      <w:sz w:val="20"/>
                      <w:szCs w:val="20"/>
                    </w:rPr>
                    <w:t>önler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3A85F5C2" w:rsidR="00AE2FFC" w:rsidRPr="001B206A" w:rsidRDefault="001B206A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1B206A">
                    <w:rPr>
                      <w:sz w:val="20"/>
                      <w:szCs w:val="20"/>
                    </w:rPr>
                    <w:t>Hospice</w:t>
                  </w:r>
                  <w:proofErr w:type="spellEnd"/>
                  <w:r w:rsidRPr="001B206A">
                    <w:rPr>
                      <w:sz w:val="20"/>
                      <w:szCs w:val="20"/>
                    </w:rPr>
                    <w:t xml:space="preserve"> bakım ve aileye destek süreci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44F70F7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A84929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A12A9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0AF7924E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3EE0A5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A12A9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4F066D67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8768EE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49AE"/>
    <w:multiLevelType w:val="hybridMultilevel"/>
    <w:tmpl w:val="8A7AD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0D34EB"/>
    <w:rsid w:val="001A12A9"/>
    <w:rsid w:val="001B206A"/>
    <w:rsid w:val="001B4555"/>
    <w:rsid w:val="00206D7B"/>
    <w:rsid w:val="00283568"/>
    <w:rsid w:val="00284643"/>
    <w:rsid w:val="00296B46"/>
    <w:rsid w:val="002C43F4"/>
    <w:rsid w:val="002E0714"/>
    <w:rsid w:val="00307168"/>
    <w:rsid w:val="003404B8"/>
    <w:rsid w:val="003642A1"/>
    <w:rsid w:val="003D5B92"/>
    <w:rsid w:val="003F0F10"/>
    <w:rsid w:val="00416BD3"/>
    <w:rsid w:val="00423F35"/>
    <w:rsid w:val="0043309A"/>
    <w:rsid w:val="00440654"/>
    <w:rsid w:val="00477BAA"/>
    <w:rsid w:val="0048206C"/>
    <w:rsid w:val="004C48BD"/>
    <w:rsid w:val="005060AA"/>
    <w:rsid w:val="0057396D"/>
    <w:rsid w:val="00574951"/>
    <w:rsid w:val="005833E5"/>
    <w:rsid w:val="0059560A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768E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B2824"/>
    <w:rsid w:val="00AE2FFC"/>
    <w:rsid w:val="00AF5B8B"/>
    <w:rsid w:val="00B75D3B"/>
    <w:rsid w:val="00BA0934"/>
    <w:rsid w:val="00BC180B"/>
    <w:rsid w:val="00C51190"/>
    <w:rsid w:val="00C57A35"/>
    <w:rsid w:val="00C63DB9"/>
    <w:rsid w:val="00C7415B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1B6B"/>
    <w:rsid w:val="00EE3856"/>
    <w:rsid w:val="00F0027A"/>
    <w:rsid w:val="00F6704B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15</cp:revision>
  <dcterms:created xsi:type="dcterms:W3CDTF">2025-10-20T09:52:00Z</dcterms:created>
  <dcterms:modified xsi:type="dcterms:W3CDTF">2025-11-11T07:43:00Z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