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22FACBD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477BAA">
              <w:rPr>
                <w:b/>
                <w:spacing w:val="-7"/>
                <w:sz w:val="20"/>
                <w:szCs w:val="20"/>
              </w:rPr>
              <w:t xml:space="preserve"> SAĞLIK BAKIM </w:t>
            </w:r>
            <w:proofErr w:type="gramStart"/>
            <w:r w:rsidR="00477BAA">
              <w:rPr>
                <w:b/>
                <w:spacing w:val="-7"/>
                <w:sz w:val="20"/>
                <w:szCs w:val="20"/>
              </w:rPr>
              <w:t>HİZMETLERİ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662124F0" w14:textId="700D3282" w:rsidR="00867237" w:rsidRPr="00A07762" w:rsidRDefault="001B206A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YBP</w:t>
            </w:r>
            <w:r w:rsidR="00C123B1">
              <w:rPr>
                <w:sz w:val="20"/>
              </w:rPr>
              <w:t>203</w:t>
            </w:r>
          </w:p>
        </w:tc>
        <w:tc>
          <w:tcPr>
            <w:tcW w:w="2977" w:type="dxa"/>
          </w:tcPr>
          <w:p w14:paraId="41C4888C" w14:textId="0FF61314" w:rsidR="00867237" w:rsidRPr="00A07762" w:rsidRDefault="00C123B1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Kronik Hastalıklar ve Bakımı</w:t>
            </w:r>
          </w:p>
        </w:tc>
        <w:tc>
          <w:tcPr>
            <w:tcW w:w="1276" w:type="dxa"/>
            <w:vAlign w:val="center"/>
          </w:tcPr>
          <w:p w14:paraId="2EDFD95E" w14:textId="5F7DBB08" w:rsidR="00867237" w:rsidRPr="00A07762" w:rsidRDefault="001B206A" w:rsidP="00423F3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7FA48EFB" w:rsidR="00867237" w:rsidRPr="00A07762" w:rsidRDefault="00C123B1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6F7CCB1D" w:rsidR="00867237" w:rsidRPr="00A07762" w:rsidRDefault="00477BAA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73CCE431" w:rsidR="00867237" w:rsidRPr="00A07762" w:rsidRDefault="00477BAA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7A3E1CE4" w14:textId="77777777" w:rsidR="000441DB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477BAA">
              <w:rPr>
                <w:sz w:val="20"/>
              </w:rPr>
              <w:t>Öğr</w:t>
            </w:r>
            <w:proofErr w:type="spellEnd"/>
            <w:r w:rsidR="00477BAA">
              <w:rPr>
                <w:sz w:val="20"/>
              </w:rPr>
              <w:t>. Gör. Dr. Burcu ÇALIK BAĞRIYANIK</w:t>
            </w:r>
          </w:p>
          <w:p w14:paraId="1ABCB78D" w14:textId="429FBAC4" w:rsidR="00477BAA" w:rsidRPr="00EA0355" w:rsidRDefault="00477BAA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bcalik.bagriyanik</w:t>
            </w:r>
            <w:r w:rsidR="001216D6" w:rsidRPr="001216D6">
              <w:rPr>
                <w:sz w:val="20"/>
              </w:rPr>
              <w:t>@</w:t>
            </w:r>
            <w:r w:rsidR="001216D6">
              <w:rPr>
                <w:sz w:val="20"/>
              </w:rPr>
              <w:t>aybu.</w:t>
            </w:r>
            <w:r>
              <w:rPr>
                <w:sz w:val="20"/>
              </w:rPr>
              <w:t>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60A9879C" w14:textId="77777777" w:rsidR="00867237" w:rsidRDefault="00867237" w:rsidP="00477BAA">
            <w:pPr>
              <w:pStyle w:val="TableParagraph"/>
              <w:jc w:val="both"/>
              <w:rPr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477BAA">
              <w:rPr>
                <w:sz w:val="20"/>
              </w:rPr>
              <w:t>Pazartesi 12.00-13.00</w:t>
            </w:r>
          </w:p>
          <w:p w14:paraId="38565D81" w14:textId="0D7DB05C" w:rsidR="00477BAA" w:rsidRPr="00A07762" w:rsidRDefault="00477BAA" w:rsidP="00477BAA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Salı 12.00-13.00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20CD6A9C" w14:textId="659F2A30" w:rsidR="00957C97" w:rsidRPr="00957C97" w:rsidRDefault="00957C97" w:rsidP="00957C97">
            <w:pPr>
              <w:jc w:val="both"/>
              <w:rPr>
                <w:rFonts w:cstheme="minorHAnsi"/>
                <w:color w:val="212529"/>
                <w:sz w:val="20"/>
                <w:szCs w:val="20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br/>
            </w:r>
            <w:r w:rsidRPr="00957C97">
              <w:rPr>
                <w:rFonts w:cstheme="minorHAnsi"/>
                <w:color w:val="3A3A3A"/>
                <w:sz w:val="20"/>
                <w:szCs w:val="20"/>
              </w:rPr>
              <w:t>Bu dersin genel amacı, kronik hastalıkların özellikleri, seyri ve evreleri konusunda bilgi ve beceri kazandırmak,</w:t>
            </w:r>
            <w:r>
              <w:rPr>
                <w:rFonts w:cstheme="minorHAnsi"/>
                <w:color w:val="3A3A3A"/>
                <w:sz w:val="20"/>
                <w:szCs w:val="20"/>
              </w:rPr>
              <w:t xml:space="preserve"> </w:t>
            </w:r>
            <w:r w:rsidRPr="00957C97">
              <w:rPr>
                <w:rFonts w:cstheme="minorHAnsi"/>
                <w:color w:val="3A3A3A"/>
                <w:sz w:val="20"/>
                <w:szCs w:val="20"/>
              </w:rPr>
              <w:t xml:space="preserve">yaşlılarda çeşitli organlarla ilişkili kronik hastalıklara yönelik temel ilke kavram, yöntem ve tekniklerle birlikte, belirtiler, tanı, tedavi, bakım yöntemleri, </w:t>
            </w:r>
            <w:proofErr w:type="gramStart"/>
            <w:r w:rsidRPr="00957C97">
              <w:rPr>
                <w:rFonts w:cstheme="minorHAnsi"/>
                <w:color w:val="3A3A3A"/>
                <w:sz w:val="20"/>
                <w:szCs w:val="20"/>
              </w:rPr>
              <w:t>rehabilitasyon</w:t>
            </w:r>
            <w:proofErr w:type="gramEnd"/>
            <w:r w:rsidRPr="00957C97">
              <w:rPr>
                <w:rFonts w:cstheme="minorHAnsi"/>
                <w:color w:val="3A3A3A"/>
                <w:sz w:val="20"/>
                <w:szCs w:val="20"/>
              </w:rPr>
              <w:t xml:space="preserve"> uygulamaları ve korunma yollarını öğretmektir</w:t>
            </w:r>
            <w:r w:rsidR="001216D6">
              <w:rPr>
                <w:rFonts w:cstheme="minorHAnsi"/>
                <w:color w:val="3A3A3A"/>
                <w:sz w:val="20"/>
                <w:szCs w:val="20"/>
              </w:rPr>
              <w:t>.</w:t>
            </w:r>
          </w:p>
          <w:p w14:paraId="413F8BE2" w14:textId="1AC41C17" w:rsidR="00630C60" w:rsidRPr="00A07762" w:rsidRDefault="00630C60" w:rsidP="009B50FD">
            <w:pPr>
              <w:pStyle w:val="TableParagraph"/>
              <w:spacing w:before="54"/>
              <w:jc w:val="both"/>
              <w:rPr>
                <w:sz w:val="20"/>
              </w:rPr>
            </w:pP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71B449DE" w:rsidR="00871F5E" w:rsidRPr="00423F35" w:rsidRDefault="00477BAA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Öğr</w:t>
            </w:r>
            <w:proofErr w:type="spellEnd"/>
            <w:r>
              <w:rPr>
                <w:iCs/>
                <w:sz w:val="20"/>
              </w:rPr>
              <w:t>. Elemanı ders notları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357DEC00" w14:textId="3CA23424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Sunu-Anlatım</w:t>
            </w:r>
          </w:p>
          <w:p w14:paraId="35B7113C" w14:textId="5017A0C6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Soru-Cevap</w:t>
            </w:r>
          </w:p>
          <w:p w14:paraId="63983B58" w14:textId="357FA971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Tartışma</w:t>
            </w:r>
          </w:p>
          <w:p w14:paraId="7D9421E6" w14:textId="5304BBE0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Gösterip Yaptırma-Uygulama</w:t>
            </w:r>
          </w:p>
          <w:p w14:paraId="45F5FE5D" w14:textId="77777777" w:rsidR="00630C60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14:paraId="008A3926" w14:textId="35ACEC67" w:rsidR="00477BAA" w:rsidRPr="00EA0355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4843DD97" w:rsidR="003D5B92" w:rsidRPr="00957C97" w:rsidRDefault="00957C9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57C97">
                    <w:rPr>
                      <w:sz w:val="20"/>
                      <w:szCs w:val="20"/>
                    </w:rPr>
                    <w:t xml:space="preserve">Kronik hastalıkların toplum açısından önemi, epidemiyolojisi, korunma ve kontrol, </w:t>
                  </w:r>
                  <w:proofErr w:type="spellStart"/>
                  <w:r w:rsidRPr="00957C97">
                    <w:rPr>
                      <w:sz w:val="20"/>
                      <w:szCs w:val="20"/>
                    </w:rPr>
                    <w:t>mortalite</w:t>
                  </w:r>
                  <w:proofErr w:type="spellEnd"/>
                  <w:r w:rsidRPr="00957C97">
                    <w:rPr>
                      <w:sz w:val="20"/>
                      <w:szCs w:val="20"/>
                    </w:rPr>
                    <w:t xml:space="preserve"> ve </w:t>
                  </w:r>
                  <w:proofErr w:type="spellStart"/>
                  <w:r w:rsidRPr="00957C97">
                    <w:rPr>
                      <w:sz w:val="20"/>
                      <w:szCs w:val="20"/>
                    </w:rPr>
                    <w:t>morbidite</w:t>
                  </w:r>
                  <w:proofErr w:type="spellEnd"/>
                  <w:r w:rsidRPr="00957C97">
                    <w:rPr>
                      <w:sz w:val="20"/>
                      <w:szCs w:val="20"/>
                    </w:rPr>
                    <w:t xml:space="preserve"> ilişkisi, hastalık taramaları, tarama testlerinin ö</w:t>
                  </w:r>
                  <w:r>
                    <w:rPr>
                      <w:sz w:val="20"/>
                      <w:szCs w:val="20"/>
                    </w:rPr>
                    <w:t>nemi hakkında bilgi sahibi olur.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0EC7DC60" w:rsidR="003D5B92" w:rsidRPr="00957C97" w:rsidRDefault="00957C9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57C97">
                    <w:rPr>
                      <w:sz w:val="20"/>
                      <w:szCs w:val="20"/>
                    </w:rPr>
                    <w:t>Yaşlılığa bağlı solunum sistem değişiklikleri KOAH, astım, kronik bronşit hastalıklar</w:t>
                  </w:r>
                  <w:r>
                    <w:rPr>
                      <w:sz w:val="20"/>
                      <w:szCs w:val="20"/>
                    </w:rPr>
                    <w:t>ını ve bakım ilkelerini öğrenir.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060BBB9A" w:rsidR="003D5B92" w:rsidRPr="00957C97" w:rsidRDefault="00957C9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57C97">
                    <w:rPr>
                      <w:sz w:val="20"/>
                      <w:szCs w:val="20"/>
                    </w:rPr>
                    <w:t xml:space="preserve">Yaşlılığa bağlı </w:t>
                  </w:r>
                  <w:proofErr w:type="spellStart"/>
                  <w:r w:rsidRPr="00957C97">
                    <w:rPr>
                      <w:sz w:val="20"/>
                      <w:szCs w:val="20"/>
                    </w:rPr>
                    <w:t>kardiyovasküler</w:t>
                  </w:r>
                  <w:proofErr w:type="spellEnd"/>
                  <w:r w:rsidRPr="00957C97">
                    <w:rPr>
                      <w:sz w:val="20"/>
                      <w:szCs w:val="20"/>
                    </w:rPr>
                    <w:t xml:space="preserve"> sistem değişiklikleri kalp </w:t>
                  </w:r>
                  <w:proofErr w:type="spellStart"/>
                  <w:r w:rsidRPr="00957C97">
                    <w:rPr>
                      <w:sz w:val="20"/>
                      <w:szCs w:val="20"/>
                    </w:rPr>
                    <w:t>yetmezlıği</w:t>
                  </w:r>
                  <w:proofErr w:type="spellEnd"/>
                  <w:r w:rsidRPr="00957C97">
                    <w:rPr>
                      <w:sz w:val="20"/>
                      <w:szCs w:val="20"/>
                    </w:rPr>
                    <w:t xml:space="preserve">, koroner arter hastalıkları, hipertansiyon, </w:t>
                  </w:r>
                  <w:proofErr w:type="spellStart"/>
                  <w:r w:rsidRPr="00957C97">
                    <w:rPr>
                      <w:sz w:val="20"/>
                      <w:szCs w:val="20"/>
                    </w:rPr>
                    <w:t>periferık</w:t>
                  </w:r>
                  <w:proofErr w:type="spellEnd"/>
                  <w:r w:rsidRPr="00957C97">
                    <w:rPr>
                      <w:sz w:val="20"/>
                      <w:szCs w:val="20"/>
                    </w:rPr>
                    <w:t xml:space="preserve"> damar hastalıklar</w:t>
                  </w:r>
                  <w:r>
                    <w:rPr>
                      <w:sz w:val="20"/>
                      <w:szCs w:val="20"/>
                    </w:rPr>
                    <w:t>ını ve bakım ilkelerini öğrenir.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0ECA39A6" w:rsidR="00AE2FFC" w:rsidRPr="00957C97" w:rsidRDefault="00957C97" w:rsidP="003D5B92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957C97">
                    <w:rPr>
                      <w:sz w:val="20"/>
                      <w:szCs w:val="20"/>
                    </w:rPr>
                    <w:t>Diabetes</w:t>
                  </w:r>
                  <w:proofErr w:type="spellEnd"/>
                  <w:r w:rsidRPr="00957C9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7C97">
                    <w:rPr>
                      <w:sz w:val="20"/>
                      <w:szCs w:val="20"/>
                    </w:rPr>
                    <w:t>mellitus</w:t>
                  </w:r>
                  <w:proofErr w:type="spellEnd"/>
                  <w:r w:rsidRPr="00957C97">
                    <w:rPr>
                      <w:sz w:val="20"/>
                      <w:szCs w:val="20"/>
                    </w:rPr>
                    <w:t xml:space="preserve">, diğer endokrin hastalıklar, </w:t>
                  </w:r>
                  <w:proofErr w:type="spellStart"/>
                  <w:r w:rsidRPr="00957C97">
                    <w:rPr>
                      <w:sz w:val="20"/>
                      <w:szCs w:val="20"/>
                    </w:rPr>
                    <w:t>gastrointestinal</w:t>
                  </w:r>
                  <w:proofErr w:type="spellEnd"/>
                  <w:r w:rsidRPr="00957C97">
                    <w:rPr>
                      <w:sz w:val="20"/>
                      <w:szCs w:val="20"/>
                    </w:rPr>
                    <w:t xml:space="preserve"> sistemin kronik hastalıkl</w:t>
                  </w:r>
                  <w:r>
                    <w:rPr>
                      <w:sz w:val="20"/>
                      <w:szCs w:val="20"/>
                    </w:rPr>
                    <w:t>arını ve bakım ilke</w:t>
                  </w:r>
                  <w:r w:rsidR="001216D6">
                    <w:rPr>
                      <w:sz w:val="20"/>
                      <w:szCs w:val="20"/>
                    </w:rPr>
                    <w:t>le</w:t>
                  </w:r>
                  <w:r>
                    <w:rPr>
                      <w:sz w:val="20"/>
                      <w:szCs w:val="20"/>
                    </w:rPr>
                    <w:t>rini öğrenir.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30B93D8B" w:rsidR="00AE2FFC" w:rsidRPr="00957C97" w:rsidRDefault="00957C9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57C97">
                    <w:rPr>
                      <w:sz w:val="20"/>
                      <w:szCs w:val="20"/>
                    </w:rPr>
                    <w:t>Kronik böbrek hastalıkları ve bakım ilke</w:t>
                  </w:r>
                  <w:r>
                    <w:rPr>
                      <w:sz w:val="20"/>
                      <w:szCs w:val="20"/>
                    </w:rPr>
                    <w:t>leri hakkında bilgi sahibi olur.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F4C5C04" w:rsidR="00AE2FFC" w:rsidRPr="00957C97" w:rsidRDefault="00957C9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57C97">
                    <w:rPr>
                      <w:sz w:val="20"/>
                      <w:szCs w:val="20"/>
                    </w:rPr>
                    <w:t>Nörolojik sistem hastalıkları ve bakım ilke</w:t>
                  </w:r>
                  <w:r>
                    <w:rPr>
                      <w:sz w:val="20"/>
                      <w:szCs w:val="20"/>
                    </w:rPr>
                    <w:t>leri hakkında bilgi sahibi olur.</w:t>
                  </w: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51E9AF80" w:rsidR="00AE2FFC" w:rsidRPr="00957C97" w:rsidRDefault="00957C9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957C97">
                    <w:rPr>
                      <w:sz w:val="20"/>
                      <w:szCs w:val="20"/>
                    </w:rPr>
                    <w:t xml:space="preserve">Kronik </w:t>
                  </w:r>
                  <w:proofErr w:type="spellStart"/>
                  <w:r w:rsidRPr="00957C97">
                    <w:rPr>
                      <w:sz w:val="20"/>
                      <w:szCs w:val="20"/>
                    </w:rPr>
                    <w:t>romotolojik</w:t>
                  </w:r>
                  <w:proofErr w:type="spellEnd"/>
                  <w:r w:rsidRPr="00957C97">
                    <w:rPr>
                      <w:sz w:val="20"/>
                      <w:szCs w:val="20"/>
                    </w:rPr>
                    <w:t xml:space="preserve"> hastalıklar, kronik ağrı</w:t>
                  </w:r>
                  <w:r>
                    <w:rPr>
                      <w:sz w:val="20"/>
                      <w:szCs w:val="20"/>
                    </w:rPr>
                    <w:t xml:space="preserve"> ve yaklaşım ilkelerini öğrenir.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D2D3A" w:rsidRDefault="006F7080" w:rsidP="006F7080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 w:rsidRPr="006D2D3A">
              <w:rPr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6D2D3A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5F65FB58" w:rsidR="006F7080" w:rsidRPr="006D2D3A" w:rsidRDefault="006D2D3A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27AAA4B5" w:rsidR="006F7080" w:rsidRPr="006D2D3A" w:rsidRDefault="006D2D3A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D2D3A">
                    <w:rPr>
                      <w:sz w:val="20"/>
                      <w:szCs w:val="20"/>
                    </w:rPr>
                    <w:t>Yaşlı bakımı alanındaki temel bilimsel bilgiye ulaşma, değerlendirme ve uygulayabilme bilgisine sahiptir</w:t>
                  </w:r>
                </w:p>
              </w:tc>
            </w:tr>
            <w:tr w:rsidR="006D2D3A" w:rsidRPr="006D2D3A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66684F82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740F1DD9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 w:rsidRPr="006D2D3A">
                    <w:rPr>
                      <w:sz w:val="20"/>
                      <w:szCs w:val="20"/>
                    </w:rPr>
                    <w:t>Yaşlı Bakım alanında edindiği temel düzeydeki bilgi ve becerileri kullanarak verileri yorumlar ve değerlendirir, sorunları tanımlar, analiz eder ve çözüm için planlanan çalışmalarda yer/sorumluluk alır.</w:t>
                  </w:r>
                </w:p>
              </w:tc>
            </w:tr>
            <w:tr w:rsidR="006D2D3A" w:rsidRPr="006D2D3A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4ABF27AF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02F9130F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 w:rsidRPr="006D2D3A">
                    <w:rPr>
                      <w:sz w:val="20"/>
                      <w:szCs w:val="20"/>
                    </w:rPr>
                    <w:t>Yaşlı Bakım alanı ile ilgili sahip olduğu temel bilgi birikimini kullanarak verilen bir görevi bağımsız olarak yürütür.</w:t>
                  </w:r>
                </w:p>
              </w:tc>
            </w:tr>
            <w:tr w:rsidR="006D2D3A" w:rsidRPr="006D2D3A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22624F46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285CD86E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 w:rsidRPr="006D2D3A">
                    <w:rPr>
                      <w:sz w:val="20"/>
                      <w:szCs w:val="20"/>
                    </w:rPr>
                    <w:t>Öğrenme gereksinimlerini belirleyebilme ve öğrenmesini yönlendirir.</w:t>
                  </w:r>
                </w:p>
              </w:tc>
            </w:tr>
            <w:tr w:rsidR="006D2D3A" w:rsidRPr="006D2D3A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3087FD15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0CE7AD5D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 w:rsidRPr="006D2D3A">
                    <w:rPr>
                      <w:sz w:val="20"/>
                      <w:szCs w:val="20"/>
                    </w:rPr>
                    <w:t>Yaşlı Bakım alanı ile ilgili konularda sahip olduğu temel bilgi ve becerileri kullanarak ilgili kişi ve kurumları bilgilendirir, düşüncelerini ve sorunlara ilişkin çözüm önerilerini yazılı ve sözlü olarak aktarır.</w:t>
                  </w:r>
                </w:p>
              </w:tc>
            </w:tr>
            <w:tr w:rsidR="006D2D3A" w:rsidRPr="006D2D3A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6C04E17F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2EF27226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 w:rsidRPr="006D2D3A">
                    <w:rPr>
                      <w:sz w:val="20"/>
                      <w:szCs w:val="20"/>
                    </w:rPr>
                    <w:t>Yaşlı Bakım alanında edindiği temel düzeydeki bilgi ve becerileri eleştirel bir yaklaşımla değerlendirir.</w:t>
                  </w:r>
                </w:p>
              </w:tc>
            </w:tr>
            <w:tr w:rsidR="006D2D3A" w:rsidRPr="006D2D3A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124BC14C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8023" w:type="dxa"/>
                </w:tcPr>
                <w:p w14:paraId="224CB1A7" w14:textId="2611D979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 w:rsidRPr="006D2D3A">
                    <w:rPr>
                      <w:sz w:val="20"/>
                      <w:szCs w:val="20"/>
                    </w:rPr>
                    <w:t>Yaşlı Bakım alanı ile ilgili uygulamalarda karşılaşılan ve öngörülemeyen karmaşık sorunları çözmek için ekip üyesi olarak çalışır.</w:t>
                  </w:r>
                </w:p>
              </w:tc>
            </w:tr>
            <w:tr w:rsidR="006D2D3A" w:rsidRPr="006D2D3A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F433355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23" w:type="dxa"/>
                </w:tcPr>
                <w:p w14:paraId="15EAB685" w14:textId="15D0BD3E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 w:rsidRPr="006D2D3A">
                    <w:rPr>
                      <w:sz w:val="20"/>
                      <w:szCs w:val="20"/>
                    </w:rPr>
                    <w:t>Yaşlı Bakım alanı ile ilgili temel bilgisayar programlarını ve ilgili teknolojileri kullanır.</w:t>
                  </w:r>
                </w:p>
              </w:tc>
            </w:tr>
            <w:tr w:rsidR="006D2D3A" w:rsidRPr="006D2D3A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501542F5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23" w:type="dxa"/>
                </w:tcPr>
                <w:p w14:paraId="2FBD6116" w14:textId="085FC692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 w:rsidRPr="006D2D3A">
                    <w:rPr>
                      <w:sz w:val="20"/>
                      <w:szCs w:val="20"/>
                    </w:rPr>
                    <w:t>Yaşlı Bakım alanı ile ilgili konularda düşüncelerini ve sorunlara ilişkin çözüm önerilerini uzman olan ve olmayan kişilerle paylaşır.</w:t>
                  </w:r>
                </w:p>
              </w:tc>
            </w:tr>
            <w:tr w:rsidR="006D2D3A" w:rsidRPr="006D2D3A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28554E01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023" w:type="dxa"/>
                </w:tcPr>
                <w:p w14:paraId="6746883F" w14:textId="5D5188F5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 w:rsidRPr="006D2D3A">
                    <w:rPr>
                      <w:sz w:val="20"/>
                      <w:szCs w:val="20"/>
                    </w:rPr>
                    <w:t>Toplumsal sorumluluk bilinci ile yaşadığı sosyal çevre için proje ve etkinliklere katkı verir.</w:t>
                  </w:r>
                </w:p>
              </w:tc>
            </w:tr>
            <w:tr w:rsidR="006D2D3A" w:rsidRPr="006D2D3A" w14:paraId="29BD332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352AD99E" w14:textId="31C8B84F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023" w:type="dxa"/>
                </w:tcPr>
                <w:p w14:paraId="47EB5232" w14:textId="381A2E10" w:rsidR="006D2D3A" w:rsidRPr="006D2D3A" w:rsidRDefault="006D2D3A" w:rsidP="006D2D3A">
                  <w:pPr>
                    <w:jc w:val="both"/>
                    <w:rPr>
                      <w:sz w:val="20"/>
                      <w:szCs w:val="20"/>
                    </w:rPr>
                  </w:pPr>
                  <w:r w:rsidRPr="006D2D3A">
                    <w:rPr>
                      <w:sz w:val="20"/>
                      <w:szCs w:val="20"/>
                    </w:rPr>
                    <w:t>Yaşlı Bakım alanı ile ilgili verilerin toplanması, yorumlanması, uygulanması ve sonuçlarının duyurulması aşamalarında toplumsal, bilimsel, kültürel ve etik değerlere uygun hareket eder.</w:t>
                  </w:r>
                </w:p>
              </w:tc>
            </w:tr>
          </w:tbl>
          <w:p w14:paraId="04E5F6F6" w14:textId="25BF1690" w:rsidR="00732FAF" w:rsidRPr="006D2D3A" w:rsidRDefault="00732FAF" w:rsidP="009B50FD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370CC842" w14:textId="77777777" w:rsidR="00630C60" w:rsidRDefault="00132845" w:rsidP="00132845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132845">
              <w:rPr>
                <w:sz w:val="20"/>
              </w:rPr>
              <w:t xml:space="preserve">Öğrenciler, yaşlı bireylerde sık görülen kronik hastalıkların seyri, evreleri ve </w:t>
            </w:r>
            <w:proofErr w:type="gramStart"/>
            <w:r w:rsidRPr="00132845">
              <w:rPr>
                <w:sz w:val="20"/>
              </w:rPr>
              <w:t>komplikasyonlarını</w:t>
            </w:r>
            <w:proofErr w:type="gramEnd"/>
            <w:r w:rsidRPr="00132845">
              <w:rPr>
                <w:sz w:val="20"/>
              </w:rPr>
              <w:t xml:space="preserve"> öğrenerek, hastalık yönetiminde bilinçli ve </w:t>
            </w:r>
            <w:r>
              <w:rPr>
                <w:sz w:val="20"/>
              </w:rPr>
              <w:t xml:space="preserve">sistematik yaklaşım geliştirir. </w:t>
            </w:r>
            <w:r w:rsidRPr="00132845">
              <w:rPr>
                <w:sz w:val="20"/>
              </w:rPr>
              <w:t>Bu sayede bakım sürecinde uzun dönemli planlama ve takip becerileri kazanırlar.</w:t>
            </w:r>
          </w:p>
          <w:p w14:paraId="773FB5BF" w14:textId="77777777" w:rsidR="00132845" w:rsidRDefault="00132845" w:rsidP="00132845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132845">
              <w:rPr>
                <w:sz w:val="20"/>
              </w:rPr>
              <w:t xml:space="preserve">Öğrenciler, kronik hastalıklarda tedaviye destekleyici bakım, komplikasyonları önleme, </w:t>
            </w:r>
            <w:proofErr w:type="gramStart"/>
            <w:r w:rsidRPr="00132845">
              <w:rPr>
                <w:sz w:val="20"/>
              </w:rPr>
              <w:t>rehabilitasyon</w:t>
            </w:r>
            <w:proofErr w:type="gramEnd"/>
            <w:r w:rsidRPr="00132845">
              <w:rPr>
                <w:sz w:val="20"/>
              </w:rPr>
              <w:t xml:space="preserve"> ve yaşam biçimi değişikliği konularında bilgi ve beceri edinir.</w:t>
            </w:r>
            <w:r>
              <w:rPr>
                <w:sz w:val="20"/>
              </w:rPr>
              <w:t xml:space="preserve"> </w:t>
            </w:r>
            <w:r w:rsidRPr="00132845">
              <w:rPr>
                <w:sz w:val="20"/>
              </w:rPr>
              <w:t>Bu, onların yaşlı bireyin bağımsızlığını destekleyen nitelikli bakım hizmeti sunmalarını sağlar.</w:t>
            </w:r>
          </w:p>
          <w:p w14:paraId="27278B09" w14:textId="4EF9397E" w:rsidR="00132845" w:rsidRPr="00132845" w:rsidRDefault="00132845" w:rsidP="00132845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 w:rsidRPr="00132845">
              <w:rPr>
                <w:sz w:val="20"/>
              </w:rPr>
              <w:t>ronik hastalıklarda, öğrenciler sadece bakım veren değil, aynı zamanda hasta ve aile eğitiminde rehberlik eden profesyoneller haline gelir.</w:t>
            </w:r>
            <w:r>
              <w:rPr>
                <w:sz w:val="20"/>
              </w:rPr>
              <w:t xml:space="preserve"> </w:t>
            </w:r>
            <w:r w:rsidRPr="00132845">
              <w:rPr>
                <w:sz w:val="20"/>
              </w:rPr>
              <w:t>Bu sayede sağlığı koruma, geliştirme ve hastalıkla baş etme konusunda toplumsal farkındalık yaratabilirler.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4DD52C7D" w:rsidR="00AE2FFC" w:rsidRPr="00C123B1" w:rsidRDefault="00C123B1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C123B1">
                    <w:rPr>
                      <w:sz w:val="20"/>
                      <w:szCs w:val="20"/>
                    </w:rPr>
                    <w:t>Kronik hastalıklar tanımı, özellikleri, seyri ve evreleri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6D8E38D7" w:rsidR="00AE2FFC" w:rsidRPr="00C123B1" w:rsidRDefault="00C123B1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C123B1">
                    <w:rPr>
                      <w:sz w:val="20"/>
                      <w:szCs w:val="20"/>
                    </w:rPr>
                    <w:t>Kardiyovasküler</w:t>
                  </w:r>
                  <w:proofErr w:type="spellEnd"/>
                  <w:r w:rsidRPr="00C123B1">
                    <w:rPr>
                      <w:sz w:val="20"/>
                      <w:szCs w:val="20"/>
                    </w:rPr>
                    <w:t xml:space="preserve"> sistem hastalıkları (Kalp Yetmezliği, Koroner arter Hastalığı, HT)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550A14BE" w:rsidR="00AE2FFC" w:rsidRPr="00C123B1" w:rsidRDefault="00C123B1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C123B1">
                    <w:rPr>
                      <w:sz w:val="20"/>
                      <w:szCs w:val="20"/>
                    </w:rPr>
                    <w:t>Kardiyovasküler</w:t>
                  </w:r>
                  <w:proofErr w:type="spellEnd"/>
                  <w:r w:rsidRPr="00C123B1">
                    <w:rPr>
                      <w:sz w:val="20"/>
                      <w:szCs w:val="20"/>
                    </w:rPr>
                    <w:t xml:space="preserve"> sistem hastalıkları (Kalp Yetmezliği, Koroner arter Hastalığı, HT)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52DAB0D0" w:rsidR="00AE2FFC" w:rsidRPr="00C123B1" w:rsidRDefault="00C123B1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C123B1">
                    <w:rPr>
                      <w:sz w:val="20"/>
                      <w:szCs w:val="20"/>
                    </w:rPr>
                    <w:t>Endokrin sistem hastalıkları (</w:t>
                  </w:r>
                  <w:proofErr w:type="spellStart"/>
                  <w:r w:rsidRPr="00C123B1">
                    <w:rPr>
                      <w:sz w:val="20"/>
                      <w:szCs w:val="20"/>
                    </w:rPr>
                    <w:t>Diabetes</w:t>
                  </w:r>
                  <w:proofErr w:type="spellEnd"/>
                  <w:r w:rsidRPr="00C123B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23B1">
                    <w:rPr>
                      <w:sz w:val="20"/>
                      <w:szCs w:val="20"/>
                    </w:rPr>
                    <w:t>mellitus</w:t>
                  </w:r>
                  <w:proofErr w:type="spellEnd"/>
                  <w:r w:rsidRPr="00C123B1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0AE8AA85" w:rsidR="00AE2FFC" w:rsidRPr="00C123B1" w:rsidRDefault="00C123B1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C123B1">
                    <w:rPr>
                      <w:sz w:val="20"/>
                      <w:szCs w:val="20"/>
                    </w:rPr>
                    <w:t>Solunum sistemi hastalıkları (KOAH)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1D82F68C" w:rsidR="00AE2FFC" w:rsidRPr="00C123B1" w:rsidRDefault="00C123B1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C123B1">
                    <w:rPr>
                      <w:sz w:val="20"/>
                      <w:szCs w:val="20"/>
                    </w:rPr>
                    <w:t>Nefrolojik</w:t>
                  </w:r>
                  <w:proofErr w:type="spellEnd"/>
                  <w:r w:rsidRPr="00C123B1">
                    <w:rPr>
                      <w:sz w:val="20"/>
                      <w:szCs w:val="20"/>
                    </w:rPr>
                    <w:t xml:space="preserve"> hastalıklar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1FC027C0" w:rsidR="00AE2FFC" w:rsidRPr="00C123B1" w:rsidRDefault="00C123B1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23B1">
                    <w:rPr>
                      <w:sz w:val="20"/>
                      <w:szCs w:val="20"/>
                    </w:rPr>
                    <w:t>Jinekolojik,ürolojik</w:t>
                  </w:r>
                  <w:proofErr w:type="spellEnd"/>
                  <w:proofErr w:type="gramEnd"/>
                  <w:r w:rsidRPr="00C123B1">
                    <w:rPr>
                      <w:sz w:val="20"/>
                      <w:szCs w:val="20"/>
                    </w:rPr>
                    <w:t xml:space="preserve"> sistemin kronik hastalıkları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C123B1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C123B1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0C589153" w:rsidR="00AE2FFC" w:rsidRPr="00C123B1" w:rsidRDefault="00C123B1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C123B1">
                    <w:rPr>
                      <w:sz w:val="20"/>
                      <w:szCs w:val="20"/>
                    </w:rPr>
                    <w:t>Romatolojik</w:t>
                  </w:r>
                  <w:proofErr w:type="spellEnd"/>
                  <w:r w:rsidRPr="00C123B1">
                    <w:rPr>
                      <w:sz w:val="20"/>
                      <w:szCs w:val="20"/>
                    </w:rPr>
                    <w:t xml:space="preserve"> hastalıklar, kas ve iskelet sistemin kronik hastalıkları</w:t>
                  </w:r>
                </w:p>
              </w:tc>
            </w:tr>
            <w:tr w:rsidR="00F0027A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50AF92EF" w:rsidR="00F0027A" w:rsidRPr="00C123B1" w:rsidRDefault="00C123B1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C123B1">
                    <w:rPr>
                      <w:sz w:val="20"/>
                      <w:szCs w:val="20"/>
                    </w:rPr>
                    <w:t>Nörolojik sistemin kronik hastalıkları</w:t>
                  </w:r>
                </w:p>
              </w:tc>
            </w:tr>
            <w:tr w:rsidR="00F0027A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39FCBFB8" w:rsidR="00F0027A" w:rsidRPr="00C123B1" w:rsidRDefault="00C123B1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C123B1">
                    <w:rPr>
                      <w:sz w:val="20"/>
                      <w:szCs w:val="20"/>
                    </w:rPr>
                    <w:t xml:space="preserve">Yaşlılıkta </w:t>
                  </w:r>
                  <w:proofErr w:type="spellStart"/>
                  <w:r w:rsidRPr="00C123B1">
                    <w:rPr>
                      <w:sz w:val="20"/>
                      <w:szCs w:val="20"/>
                    </w:rPr>
                    <w:t>gastrointestinal</w:t>
                  </w:r>
                  <w:proofErr w:type="spellEnd"/>
                  <w:r w:rsidRPr="00C123B1">
                    <w:rPr>
                      <w:sz w:val="20"/>
                      <w:szCs w:val="20"/>
                    </w:rPr>
                    <w:t xml:space="preserve"> sistem hastalıkları</w:t>
                  </w:r>
                </w:p>
              </w:tc>
            </w:tr>
            <w:tr w:rsidR="00F0027A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769B0559" w:rsidR="00F0027A" w:rsidRPr="00C123B1" w:rsidRDefault="00C123B1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C123B1">
                    <w:rPr>
                      <w:sz w:val="20"/>
                      <w:szCs w:val="20"/>
                    </w:rPr>
                    <w:t>Kulak burun boğaz hastalıkları, göz hastalıkları, dermatolojik hastalıklar</w:t>
                  </w:r>
                </w:p>
              </w:tc>
            </w:tr>
            <w:tr w:rsidR="00F0027A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2398B248" w:rsidR="00F0027A" w:rsidRPr="00C123B1" w:rsidRDefault="00C123B1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C123B1">
                    <w:rPr>
                      <w:sz w:val="20"/>
                      <w:szCs w:val="20"/>
                    </w:rPr>
                    <w:t>Enfeksiyon hastalıkları</w:t>
                  </w:r>
                </w:p>
              </w:tc>
            </w:tr>
            <w:tr w:rsidR="00F0027A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7A1247C4" w:rsidR="00F0027A" w:rsidRPr="00C123B1" w:rsidRDefault="00C123B1" w:rsidP="00C123B1">
                  <w:pPr>
                    <w:rPr>
                      <w:sz w:val="20"/>
                      <w:szCs w:val="20"/>
                    </w:rPr>
                  </w:pPr>
                  <w:r w:rsidRPr="00C123B1">
                    <w:rPr>
                      <w:sz w:val="20"/>
                      <w:szCs w:val="20"/>
                    </w:rPr>
                    <w:t>Yaşlılık ve kanser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304345EC" w:rsidR="00AE2FFC" w:rsidRPr="00C123B1" w:rsidRDefault="00C123B1" w:rsidP="00C123B1">
                  <w:pPr>
                    <w:rPr>
                      <w:sz w:val="20"/>
                      <w:szCs w:val="20"/>
                    </w:rPr>
                  </w:pPr>
                  <w:r w:rsidRPr="00C123B1">
                    <w:rPr>
                      <w:sz w:val="20"/>
                      <w:szCs w:val="20"/>
                    </w:rPr>
                    <w:t>Yaşlılık ve depresyon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44F70F7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A84929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A12A9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0AF7924E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3EE0A5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A12A9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7BBAC5CF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A40387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2BD0"/>
    <w:multiLevelType w:val="hybridMultilevel"/>
    <w:tmpl w:val="309669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216D6"/>
    <w:rsid w:val="00132845"/>
    <w:rsid w:val="001A12A9"/>
    <w:rsid w:val="001B206A"/>
    <w:rsid w:val="001B4555"/>
    <w:rsid w:val="00206D7B"/>
    <w:rsid w:val="00283568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77BAA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D2D3A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57C97"/>
    <w:rsid w:val="00974855"/>
    <w:rsid w:val="009B50FD"/>
    <w:rsid w:val="00A07762"/>
    <w:rsid w:val="00A27A75"/>
    <w:rsid w:val="00A40387"/>
    <w:rsid w:val="00AE2FFC"/>
    <w:rsid w:val="00AF5B8B"/>
    <w:rsid w:val="00B75D3B"/>
    <w:rsid w:val="00BA0934"/>
    <w:rsid w:val="00BC180B"/>
    <w:rsid w:val="00C123B1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A5EF2"/>
    <w:rsid w:val="00EB0594"/>
    <w:rsid w:val="00EC1DD9"/>
    <w:rsid w:val="00EE3856"/>
    <w:rsid w:val="00F0027A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13</cp:revision>
  <dcterms:created xsi:type="dcterms:W3CDTF">2025-10-20T09:52:00Z</dcterms:created>
  <dcterms:modified xsi:type="dcterms:W3CDTF">2025-11-11T07:42:00Z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