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CA3F41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7240715" w:rsidR="00630C60" w:rsidRPr="00CA3F41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CA3F4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CA3F4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A3F4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185150" w:rsidRPr="00CA3F4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TIBBİ HİZMETLER VE TEKNİKLER</w:t>
            </w:r>
            <w:r w:rsidR="00574951" w:rsidRPr="00CA3F4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185150" w:rsidRPr="00CA3F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/ELEKTRONÖROFİZYOLOJİ PROGRAMI/İŞLEVSEL NÖROGÖRÜNTÜLEME DERSİ</w:t>
            </w:r>
          </w:p>
          <w:p w14:paraId="5549F331" w14:textId="77777777" w:rsidR="00630C60" w:rsidRPr="00CA3F41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A3F4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CA3F41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CA3F41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CA3F4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CA3F41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CA3F4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CA3F41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CA3F4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CA3F41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pacing w:val="-4"/>
                <w:sz w:val="20"/>
              </w:rPr>
              <w:t>AKTS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CA3F41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CA3F41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CA3F41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CA3F41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2124F0" w14:textId="5DDDF392" w:rsidR="00867237" w:rsidRPr="00CA3F41" w:rsidRDefault="00185150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color w:val="3A3A3A"/>
                <w:sz w:val="20"/>
                <w:szCs w:val="16"/>
                <w:shd w:val="clear" w:color="auto" w:fill="F5F5F5"/>
              </w:rPr>
              <w:t>ENF128</w:t>
            </w:r>
          </w:p>
        </w:tc>
        <w:tc>
          <w:tcPr>
            <w:tcW w:w="2977" w:type="dxa"/>
          </w:tcPr>
          <w:p w14:paraId="2092FB6F" w14:textId="77777777" w:rsidR="00867237" w:rsidRPr="00CA3F41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C4888C" w14:textId="53B4FE09" w:rsidR="00867237" w:rsidRPr="00CA3F41" w:rsidRDefault="00185150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color w:val="3A3A3A"/>
                <w:sz w:val="20"/>
                <w:szCs w:val="16"/>
                <w:shd w:val="clear" w:color="auto" w:fill="F5F5F5"/>
              </w:rPr>
              <w:t>İŞLEVSEL NÖROGÖRÜNTÜLEME</w:t>
            </w:r>
          </w:p>
        </w:tc>
        <w:tc>
          <w:tcPr>
            <w:tcW w:w="1276" w:type="dxa"/>
            <w:vAlign w:val="center"/>
          </w:tcPr>
          <w:p w14:paraId="1CB4682D" w14:textId="3A202516" w:rsidR="00867237" w:rsidRPr="00CA3F41" w:rsidRDefault="00867237" w:rsidP="00423F35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  <w:r w:rsidRPr="00CA3F41">
              <w:rPr>
                <w:rFonts w:asciiTheme="minorHAnsi" w:hAnsiTheme="minorHAnsi" w:cstheme="minorHAnsi"/>
                <w:spacing w:val="-2"/>
                <w:sz w:val="20"/>
              </w:rPr>
              <w:t>Zorunlu/</w:t>
            </w:r>
          </w:p>
          <w:p w14:paraId="2EDFD95E" w14:textId="3C9AE0F2" w:rsidR="00867237" w:rsidRPr="00CA3F41" w:rsidRDefault="00867237" w:rsidP="00423F35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CA3F41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BD4582" w14:textId="61827A02" w:rsidR="00867237" w:rsidRPr="00CA3F41" w:rsidRDefault="00185150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CA3F41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87917FD" w14:textId="75FF3B94" w:rsidR="00867237" w:rsidRPr="00CA3F41" w:rsidRDefault="00185150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CA3F41">
              <w:rPr>
                <w:rFonts w:asciiTheme="minorHAnsi" w:hAnsiTheme="minorHAnsi" w:cstheme="minorHAnsi"/>
                <w:sz w:val="20"/>
              </w:rPr>
              <w:t>yok</w:t>
            </w:r>
            <w:proofErr w:type="gramEnd"/>
          </w:p>
        </w:tc>
        <w:tc>
          <w:tcPr>
            <w:tcW w:w="1710" w:type="dxa"/>
            <w:vAlign w:val="center"/>
          </w:tcPr>
          <w:p w14:paraId="6E69D48B" w14:textId="6A6ACAF6" w:rsidR="00867237" w:rsidRPr="00CA3F41" w:rsidRDefault="00185150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sz w:val="20"/>
              </w:rPr>
              <w:t>17.09.2025</w:t>
            </w:r>
          </w:p>
        </w:tc>
      </w:tr>
      <w:tr w:rsidR="000441DB" w:rsidRPr="00CA3F41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CA3F41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 Veren Öğretim Üyesi &amp;</w:t>
            </w:r>
            <w:r w:rsidR="002C43F4" w:rsidRPr="00CA3F4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7C27D283" w:rsidR="000441DB" w:rsidRPr="00CA3F41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5150" w:rsidRPr="00CA3F41">
              <w:rPr>
                <w:rFonts w:asciiTheme="minorHAnsi" w:hAnsiTheme="minorHAnsi" w:cstheme="minorHAnsi"/>
                <w:sz w:val="20"/>
              </w:rPr>
              <w:t>Doç. Dr. Ekin DEMİRAY (edemiray@aybu.edu.tr</w:t>
            </w:r>
          </w:p>
        </w:tc>
      </w:tr>
      <w:tr w:rsidR="00867237" w:rsidRPr="00CA3F41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CA3F41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BF0113C" w:rsidR="00867237" w:rsidRPr="00CA3F41" w:rsidRDefault="00867237" w:rsidP="0018515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="00185150" w:rsidRPr="00CA3F41">
              <w:rPr>
                <w:rFonts w:asciiTheme="minorHAnsi" w:hAnsiTheme="minorHAnsi" w:cstheme="minorHAnsi"/>
                <w:sz w:val="20"/>
              </w:rPr>
              <w:t xml:space="preserve">Salı 13.00-15.00 (ENF </w:t>
            </w:r>
            <w:proofErr w:type="spellStart"/>
            <w:r w:rsidR="00185150" w:rsidRPr="00CA3F41">
              <w:rPr>
                <w:rFonts w:asciiTheme="minorHAnsi" w:hAnsiTheme="minorHAnsi" w:cstheme="minorHAnsi"/>
                <w:sz w:val="20"/>
              </w:rPr>
              <w:t>lab</w:t>
            </w:r>
            <w:proofErr w:type="spellEnd"/>
            <w:r w:rsidR="00185150" w:rsidRPr="00CA3F41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630C60" w:rsidRPr="00CA3F41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CA3F41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CA3F41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t>İçeriği ve</w:t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376DD233" w14:textId="4F0EA433" w:rsidR="00185150" w:rsidRPr="00CA3F41" w:rsidRDefault="00185150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  <w:u w:val="single"/>
              </w:rPr>
              <w:t>Dersin amacı</w:t>
            </w:r>
          </w:p>
          <w:p w14:paraId="3CCD2F8D" w14:textId="77777777" w:rsidR="00630C60" w:rsidRPr="00CA3F41" w:rsidRDefault="00185150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sz w:val="20"/>
              </w:rPr>
              <w:t xml:space="preserve">İşlevsel </w:t>
            </w:r>
            <w:proofErr w:type="spellStart"/>
            <w:r w:rsidRPr="00CA3F41">
              <w:rPr>
                <w:rFonts w:asciiTheme="minorHAnsi" w:hAnsiTheme="minorHAnsi" w:cstheme="minorHAnsi"/>
                <w:sz w:val="20"/>
              </w:rPr>
              <w:t>nörogörüntüleme</w:t>
            </w:r>
            <w:proofErr w:type="spellEnd"/>
            <w:r w:rsidRPr="00CA3F41">
              <w:rPr>
                <w:rFonts w:asciiTheme="minorHAnsi" w:hAnsiTheme="minorHAnsi" w:cstheme="minorHAnsi"/>
                <w:sz w:val="20"/>
              </w:rPr>
              <w:t xml:space="preserve"> dersinin amacı, beynin farklı bölgelerinin bilişsel, duygusal ve motor işlevlerle nasıl ilişkilendiğini anlamak için kullanılan görüntüleme yöntemlerinin prensiplerini, uygulamalarını ve yorumlama tekniklerini öğretmektir. Öğrenciler, EEG, </w:t>
            </w:r>
            <w:proofErr w:type="spellStart"/>
            <w:r w:rsidRPr="00CA3F41">
              <w:rPr>
                <w:rFonts w:asciiTheme="minorHAnsi" w:hAnsiTheme="minorHAnsi" w:cstheme="minorHAnsi"/>
                <w:sz w:val="20"/>
              </w:rPr>
              <w:t>fMRI</w:t>
            </w:r>
            <w:proofErr w:type="spellEnd"/>
            <w:r w:rsidRPr="00CA3F41">
              <w:rPr>
                <w:rFonts w:asciiTheme="minorHAnsi" w:hAnsiTheme="minorHAnsi" w:cstheme="minorHAnsi"/>
                <w:sz w:val="20"/>
              </w:rPr>
              <w:t xml:space="preserve">, PET, MEG gibi tekniklerin temel çalışma prensiplerini, veri toplama ve analiz süreçlerini, ayrıca bu tekniklerin </w:t>
            </w:r>
            <w:proofErr w:type="spellStart"/>
            <w:r w:rsidRPr="00CA3F41">
              <w:rPr>
                <w:rFonts w:asciiTheme="minorHAnsi" w:hAnsiTheme="minorHAnsi" w:cstheme="minorHAnsi"/>
                <w:sz w:val="20"/>
              </w:rPr>
              <w:t>nöropsikoloji</w:t>
            </w:r>
            <w:proofErr w:type="spellEnd"/>
            <w:r w:rsidRPr="00CA3F41">
              <w:rPr>
                <w:rFonts w:asciiTheme="minorHAnsi" w:hAnsiTheme="minorHAnsi" w:cstheme="minorHAnsi"/>
                <w:sz w:val="20"/>
              </w:rPr>
              <w:t>, tıp ve bilişsel bilimlerdeki kullanım alanlarını öğrenir.</w:t>
            </w:r>
          </w:p>
          <w:p w14:paraId="2922E1D7" w14:textId="77777777" w:rsidR="00185150" w:rsidRPr="00CA3F41" w:rsidRDefault="00185150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  <w:u w:val="single"/>
              </w:rPr>
              <w:t>Dersin içeriği</w:t>
            </w:r>
          </w:p>
          <w:p w14:paraId="413F8BE2" w14:textId="1F4667C9" w:rsidR="00185150" w:rsidRPr="00CA3F41" w:rsidRDefault="00185150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A3F41">
              <w:rPr>
                <w:rFonts w:asciiTheme="minorHAnsi" w:hAnsiTheme="minorHAnsi" w:cstheme="minorHAnsi"/>
              </w:rPr>
              <w:t xml:space="preserve">Bu ders, beynin bilişsel, duygusal ve motor işlevlerini incelemek amacıyla kullanılan </w:t>
            </w:r>
            <w:r w:rsidRPr="00CA3F41">
              <w:rPr>
                <w:rStyle w:val="Gl"/>
                <w:rFonts w:asciiTheme="minorHAnsi" w:hAnsiTheme="minorHAnsi" w:cstheme="minorHAnsi"/>
                <w:b w:val="0"/>
              </w:rPr>
              <w:t>işlevsel görüntüleme yöntemlerinin temel prensiplerini, veri toplama ve analiz süreçlerini</w:t>
            </w:r>
            <w:r w:rsidRPr="00CA3F41">
              <w:rPr>
                <w:rFonts w:asciiTheme="minorHAnsi" w:hAnsiTheme="minorHAnsi" w:cstheme="minorHAnsi"/>
              </w:rPr>
              <w:t xml:space="preserve"> öğretir. EEG, </w:t>
            </w:r>
            <w:proofErr w:type="spellStart"/>
            <w:r w:rsidRPr="00CA3F41">
              <w:rPr>
                <w:rFonts w:asciiTheme="minorHAnsi" w:hAnsiTheme="minorHAnsi" w:cstheme="minorHAnsi"/>
              </w:rPr>
              <w:t>fMRI</w:t>
            </w:r>
            <w:proofErr w:type="spellEnd"/>
            <w:r w:rsidRPr="00CA3F41">
              <w:rPr>
                <w:rFonts w:asciiTheme="minorHAnsi" w:hAnsiTheme="minorHAnsi" w:cstheme="minorHAnsi"/>
              </w:rPr>
              <w:t xml:space="preserve">, PET, MEG gibi yöntemlerin sinirsel temelleri, ölçüm prensipleri, veri işleme </w:t>
            </w:r>
            <w:proofErr w:type="gramStart"/>
            <w:r w:rsidRPr="00CA3F41">
              <w:rPr>
                <w:rFonts w:asciiTheme="minorHAnsi" w:hAnsiTheme="minorHAnsi" w:cstheme="minorHAnsi"/>
              </w:rPr>
              <w:t>yaklaşımları,</w:t>
            </w:r>
            <w:proofErr w:type="gramEnd"/>
            <w:r w:rsidRPr="00CA3F41">
              <w:rPr>
                <w:rFonts w:asciiTheme="minorHAnsi" w:hAnsiTheme="minorHAnsi" w:cstheme="minorHAnsi"/>
              </w:rPr>
              <w:t xml:space="preserve"> ve bu yöntemlerin </w:t>
            </w:r>
            <w:proofErr w:type="spellStart"/>
            <w:r w:rsidRPr="00CA3F41">
              <w:rPr>
                <w:rStyle w:val="Gl"/>
                <w:rFonts w:asciiTheme="minorHAnsi" w:hAnsiTheme="minorHAnsi" w:cstheme="minorHAnsi"/>
                <w:b w:val="0"/>
              </w:rPr>
              <w:t>nöropsikiyatri</w:t>
            </w:r>
            <w:proofErr w:type="spellEnd"/>
            <w:r w:rsidRPr="00CA3F41">
              <w:rPr>
                <w:rStyle w:val="Gl"/>
                <w:rFonts w:asciiTheme="minorHAnsi" w:hAnsiTheme="minorHAnsi" w:cstheme="minorHAnsi"/>
                <w:b w:val="0"/>
              </w:rPr>
              <w:t xml:space="preserve">, bilişsel </w:t>
            </w:r>
            <w:proofErr w:type="spellStart"/>
            <w:r w:rsidRPr="00CA3F41">
              <w:rPr>
                <w:rStyle w:val="Gl"/>
                <w:rFonts w:asciiTheme="minorHAnsi" w:hAnsiTheme="minorHAnsi" w:cstheme="minorHAnsi"/>
                <w:b w:val="0"/>
              </w:rPr>
              <w:t>nörobilim</w:t>
            </w:r>
            <w:proofErr w:type="spellEnd"/>
            <w:r w:rsidRPr="00CA3F41">
              <w:rPr>
                <w:rStyle w:val="Gl"/>
                <w:rFonts w:asciiTheme="minorHAnsi" w:hAnsiTheme="minorHAnsi" w:cstheme="minorHAnsi"/>
                <w:b w:val="0"/>
              </w:rPr>
              <w:t xml:space="preserve"> ve klinik uygulamalardaki</w:t>
            </w:r>
            <w:r w:rsidRPr="00CA3F41">
              <w:rPr>
                <w:rFonts w:asciiTheme="minorHAnsi" w:hAnsiTheme="minorHAnsi" w:cstheme="minorHAnsi"/>
              </w:rPr>
              <w:t xml:space="preserve"> kullanımı ele alınır.</w:t>
            </w:r>
          </w:p>
        </w:tc>
      </w:tr>
      <w:tr w:rsidR="00630C60" w:rsidRPr="00CA3F41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CA3F41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</w:t>
            </w:r>
            <w:r w:rsidRPr="00CA3F41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t>Kitabı</w:t>
            </w:r>
            <w:r w:rsidRPr="00CA3F41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CA3F41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BB2A8A7" w14:textId="77777777" w:rsidR="00185150" w:rsidRPr="00CA3F41" w:rsidRDefault="00185150" w:rsidP="00185150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A3F41">
              <w:rPr>
                <w:rFonts w:asciiTheme="minorHAnsi" w:hAnsiTheme="minorHAnsi" w:cstheme="minorHAnsi"/>
                <w:iCs/>
                <w:sz w:val="20"/>
              </w:rPr>
              <w:t>Gök, S. (2021). Beyin Görüntüleme Yöntemleri ve Uygulamaları. Ankara: Nobel Akademik Yayıncılık.</w:t>
            </w:r>
          </w:p>
          <w:p w14:paraId="681F6A8D" w14:textId="77777777" w:rsidR="00185150" w:rsidRPr="00CA3F41" w:rsidRDefault="00185150" w:rsidP="00185150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A3F41">
              <w:rPr>
                <w:rFonts w:asciiTheme="minorHAnsi" w:hAnsiTheme="minorHAnsi" w:cstheme="minorHAnsi"/>
                <w:iCs/>
                <w:sz w:val="20"/>
              </w:rPr>
              <w:t xml:space="preserve">Taneli, Y. (Ed.). (2018). </w:t>
            </w:r>
            <w:proofErr w:type="spellStart"/>
            <w:r w:rsidRPr="00CA3F41">
              <w:rPr>
                <w:rFonts w:asciiTheme="minorHAnsi" w:hAnsiTheme="minorHAnsi" w:cstheme="minorHAnsi"/>
                <w:iCs/>
                <w:sz w:val="20"/>
              </w:rPr>
              <w:t>Nörobilim</w:t>
            </w:r>
            <w:proofErr w:type="spellEnd"/>
            <w:r w:rsidRPr="00CA3F41">
              <w:rPr>
                <w:rFonts w:asciiTheme="minorHAnsi" w:hAnsiTheme="minorHAnsi" w:cstheme="minorHAnsi"/>
                <w:iCs/>
                <w:sz w:val="20"/>
              </w:rPr>
              <w:t>: Hücreden Davranışa. Türkiye Klinikleri Yayınları.</w:t>
            </w:r>
          </w:p>
          <w:p w14:paraId="6093A56F" w14:textId="0EF6828A" w:rsidR="00871F5E" w:rsidRPr="00CA3F41" w:rsidRDefault="00185150" w:rsidP="00185150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A3F41">
              <w:rPr>
                <w:rFonts w:asciiTheme="minorHAnsi" w:hAnsiTheme="minorHAnsi" w:cstheme="minorHAnsi"/>
                <w:iCs/>
                <w:sz w:val="20"/>
              </w:rPr>
              <w:t xml:space="preserve">Atagün, M. İ. (2020). Fonksiyonel </w:t>
            </w:r>
            <w:proofErr w:type="spellStart"/>
            <w:r w:rsidRPr="00CA3F41">
              <w:rPr>
                <w:rFonts w:asciiTheme="minorHAnsi" w:hAnsiTheme="minorHAnsi" w:cstheme="minorHAnsi"/>
                <w:iCs/>
                <w:sz w:val="20"/>
              </w:rPr>
              <w:t>nörogörüntüleme</w:t>
            </w:r>
            <w:proofErr w:type="spellEnd"/>
            <w:r w:rsidRPr="00CA3F41">
              <w:rPr>
                <w:rFonts w:asciiTheme="minorHAnsi" w:hAnsiTheme="minorHAnsi" w:cstheme="minorHAnsi"/>
                <w:iCs/>
                <w:sz w:val="20"/>
              </w:rPr>
              <w:t>: Klinik uygulamalar ve yöntemsel değerlendirmeler. Psikiyatride Güncel Yaklaşımlar, 12(1), 120–138.</w:t>
            </w:r>
          </w:p>
        </w:tc>
      </w:tr>
      <w:tr w:rsidR="00630C60" w:rsidRPr="00CA3F41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CA3F41" w:rsidRDefault="00A27A75" w:rsidP="00736CCA">
            <w:pPr>
              <w:jc w:val="center"/>
              <w:rPr>
                <w:rFonts w:cstheme="minorHAnsi"/>
                <w:sz w:val="2"/>
                <w:szCs w:val="2"/>
              </w:rPr>
            </w:pPr>
            <w:r w:rsidRPr="00CA3F41">
              <w:rPr>
                <w:rFonts w:cstheme="minorHAnsi"/>
                <w:b/>
                <w:spacing w:val="-2"/>
                <w:sz w:val="20"/>
              </w:rPr>
              <w:t xml:space="preserve">Öğretim </w:t>
            </w:r>
            <w:r w:rsidRPr="00CA3F41">
              <w:rPr>
                <w:rFonts w:cstheme="minorHAnsi"/>
                <w:b/>
                <w:sz w:val="20"/>
              </w:rPr>
              <w:t>Yöntemi</w:t>
            </w:r>
            <w:r w:rsidRPr="00CA3F41">
              <w:rPr>
                <w:rFonts w:cstheme="minorHAnsi"/>
                <w:b/>
                <w:spacing w:val="-12"/>
                <w:sz w:val="20"/>
              </w:rPr>
              <w:t xml:space="preserve"> </w:t>
            </w:r>
            <w:r w:rsidRPr="00CA3F41">
              <w:rPr>
                <w:rFonts w:cstheme="minorHAnsi"/>
                <w:b/>
                <w:sz w:val="20"/>
              </w:rPr>
              <w:t xml:space="preserve">ve </w:t>
            </w:r>
            <w:r w:rsidRPr="00CA3F41">
              <w:rPr>
                <w:rFonts w:cstheme="minorHAnsi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C33772D" w:rsidR="00630C60" w:rsidRPr="00CA3F41" w:rsidRDefault="00F55F98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CA3F41">
              <w:rPr>
                <w:rFonts w:asciiTheme="minorHAnsi" w:hAnsiTheme="minorHAnsi" w:cstheme="minorHAnsi"/>
                <w:sz w:val="20"/>
              </w:rPr>
              <w:t>Sunum, ders anlatımı ve soru cevap, yazılı sınav</w:t>
            </w:r>
          </w:p>
        </w:tc>
      </w:tr>
      <w:tr w:rsidR="00630C60" w:rsidRPr="00CA3F41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CA3F41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CA3F41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CA3F41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CA3F41">
                    <w:rPr>
                      <w:rFonts w:cstheme="min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B1E75AD" w:rsidR="003D5B92" w:rsidRPr="00CA3F41" w:rsidRDefault="00F55F98" w:rsidP="003D5B92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Beyin işlevleri ve sinirsel aktivite arasındaki ilişkiyi açıklamak.</w:t>
                  </w:r>
                </w:p>
              </w:tc>
            </w:tr>
            <w:tr w:rsidR="003D5B92" w:rsidRPr="00CA3F41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CA3F41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CA3F41">
                    <w:rPr>
                      <w:rFonts w:cstheme="min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5996D6B5" w:rsidR="003D5B92" w:rsidRPr="00CA3F41" w:rsidRDefault="00F55F98" w:rsidP="003D5B92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 xml:space="preserve">EEG, </w:t>
                  </w:r>
                  <w:proofErr w:type="spellStart"/>
                  <w:r w:rsidRPr="00CA3F41">
                    <w:rPr>
                      <w:rFonts w:cstheme="minorHAnsi"/>
                    </w:rPr>
                    <w:t>fMRI</w:t>
                  </w:r>
                  <w:proofErr w:type="spellEnd"/>
                  <w:r w:rsidRPr="00CA3F41">
                    <w:rPr>
                      <w:rFonts w:cstheme="minorHAnsi"/>
                    </w:rPr>
                    <w:t xml:space="preserve">, PET, MEG gibi işlevsel </w:t>
                  </w:r>
                  <w:proofErr w:type="spellStart"/>
                  <w:r w:rsidRPr="00CA3F41">
                    <w:rPr>
                      <w:rFonts w:cstheme="minorHAnsi"/>
                    </w:rPr>
                    <w:t>nörogörüntüleme</w:t>
                  </w:r>
                  <w:proofErr w:type="spellEnd"/>
                  <w:r w:rsidRPr="00CA3F41">
                    <w:rPr>
                      <w:rFonts w:cstheme="minorHAnsi"/>
                    </w:rPr>
                    <w:t xml:space="preserve"> yöntemlerinin temel prensiplerini, avantajlarını ve sınırlılıklarını tanımlayabilmek.</w:t>
                  </w:r>
                </w:p>
              </w:tc>
            </w:tr>
            <w:tr w:rsidR="003D5B92" w:rsidRPr="00CA3F41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CA3F41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CA3F41">
                    <w:rPr>
                      <w:rFonts w:cstheme="minorHAns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C803793" w:rsidR="003D5B92" w:rsidRPr="00CA3F41" w:rsidRDefault="00F55F98" w:rsidP="003D5B92">
                  <w:pPr>
                    <w:jc w:val="both"/>
                    <w:rPr>
                      <w:rFonts w:cstheme="minorHAnsi"/>
                      <w:b/>
                    </w:rPr>
                  </w:pPr>
                  <w:r w:rsidRPr="00CA3F41">
                    <w:rPr>
                      <w:rStyle w:val="Gl"/>
                      <w:rFonts w:cstheme="minorHAnsi"/>
                      <w:b w:val="0"/>
                    </w:rPr>
                    <w:t>İşlevsel ve yapısal görüntüleme tekniklerini</w:t>
                  </w:r>
                  <w:r w:rsidRPr="00CA3F41">
                    <w:rPr>
                      <w:rFonts w:cstheme="minorHAnsi"/>
                      <w:b/>
                    </w:rPr>
                    <w:t xml:space="preserve"> </w:t>
                  </w:r>
                  <w:r w:rsidRPr="00CA3F41">
                    <w:rPr>
                      <w:rFonts w:cstheme="minorHAnsi"/>
                    </w:rPr>
                    <w:t>birbirinden ayırt edebilmek.</w:t>
                  </w:r>
                </w:p>
              </w:tc>
            </w:tr>
            <w:tr w:rsidR="00AE2FFC" w:rsidRPr="00CA3F41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CA3F41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CA3F41">
                    <w:rPr>
                      <w:rFonts w:cstheme="minorHAns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14C0F4A5" w:rsidR="00AE2FFC" w:rsidRPr="00CA3F41" w:rsidRDefault="00F55F98" w:rsidP="003D5B92">
                  <w:pPr>
                    <w:jc w:val="both"/>
                    <w:rPr>
                      <w:rFonts w:cstheme="minorHAnsi"/>
                      <w:b/>
                    </w:rPr>
                  </w:pPr>
                  <w:r w:rsidRPr="00CA3F41">
                    <w:rPr>
                      <w:rStyle w:val="Gl"/>
                      <w:rFonts w:cstheme="minorHAnsi"/>
                      <w:b w:val="0"/>
                    </w:rPr>
                    <w:t xml:space="preserve">EEG ve </w:t>
                  </w:r>
                  <w:proofErr w:type="spellStart"/>
                  <w:r w:rsidRPr="00CA3F41">
                    <w:rPr>
                      <w:rStyle w:val="Gl"/>
                      <w:rFonts w:cstheme="minorHAnsi"/>
                      <w:b w:val="0"/>
                    </w:rPr>
                    <w:t>fMRI</w:t>
                  </w:r>
                  <w:proofErr w:type="spellEnd"/>
                  <w:r w:rsidRPr="00CA3F41">
                    <w:rPr>
                      <w:rStyle w:val="Gl"/>
                      <w:rFonts w:cstheme="minorHAnsi"/>
                      <w:b w:val="0"/>
                    </w:rPr>
                    <w:t xml:space="preserve"> verilerinin ön işleme (</w:t>
                  </w:r>
                  <w:proofErr w:type="spellStart"/>
                  <w:r w:rsidRPr="00CA3F41">
                    <w:rPr>
                      <w:rStyle w:val="Gl"/>
                      <w:rFonts w:cstheme="minorHAnsi"/>
                      <w:b w:val="0"/>
                    </w:rPr>
                    <w:t>preprocessing</w:t>
                  </w:r>
                  <w:proofErr w:type="spellEnd"/>
                  <w:r w:rsidRPr="00CA3F41">
                    <w:rPr>
                      <w:rStyle w:val="Gl"/>
                      <w:rFonts w:cstheme="minorHAnsi"/>
                      <w:b w:val="0"/>
                    </w:rPr>
                    <w:t>) ve temel analiz adımlarını</w:t>
                  </w:r>
                  <w:r w:rsidRPr="00CA3F41">
                    <w:rPr>
                      <w:rFonts w:cstheme="minorHAnsi"/>
                      <w:b/>
                    </w:rPr>
                    <w:t xml:space="preserve"> </w:t>
                  </w:r>
                  <w:r w:rsidRPr="00CA3F41">
                    <w:rPr>
                      <w:rFonts w:cstheme="minorHAnsi"/>
                    </w:rPr>
                    <w:t>uygulamak.</w:t>
                  </w:r>
                </w:p>
              </w:tc>
            </w:tr>
            <w:tr w:rsidR="00AE2FFC" w:rsidRPr="00CA3F41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CA3F41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CA3F41">
                    <w:rPr>
                      <w:rFonts w:cstheme="minorHAnsi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EB7B352" w:rsidR="00AE2FFC" w:rsidRPr="00CA3F41" w:rsidRDefault="00F55F98" w:rsidP="003D5B92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 w:rsidRPr="00CA3F41">
                    <w:rPr>
                      <w:rFonts w:cstheme="minorHAnsi"/>
                    </w:rPr>
                    <w:t>Nörogörüntüleme</w:t>
                  </w:r>
                  <w:proofErr w:type="spellEnd"/>
                  <w:r w:rsidRPr="00CA3F41">
                    <w:rPr>
                      <w:rFonts w:cstheme="minorHAnsi"/>
                    </w:rPr>
                    <w:t xml:space="preserve"> verilerini istatistiksel ve görsel olarak yorumlamak.</w:t>
                  </w:r>
                </w:p>
              </w:tc>
            </w:tr>
          </w:tbl>
          <w:p w14:paraId="0BD6EB83" w14:textId="28FB4137" w:rsidR="00630C60" w:rsidRPr="00CA3F41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0C60" w:rsidRPr="00CA3F41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CA3F41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CA3F41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t xml:space="preserve">Katkı </w:t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CA3F41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CA3F41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5EC751C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19B9FBAC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Beyin ve sinir sisteminin yapısal ve işlevsel organizasyonuna ilişkin ileri düzey bilgiye sahiptir.</w:t>
                  </w:r>
                </w:p>
              </w:tc>
            </w:tr>
            <w:tr w:rsidR="006F7080" w:rsidRPr="00CA3F41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B55715C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08FB3DFE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 w:rsidRPr="00CA3F41">
                    <w:rPr>
                      <w:rFonts w:cstheme="minorHAnsi"/>
                    </w:rPr>
                    <w:t>Nörobilimsel</w:t>
                  </w:r>
                  <w:proofErr w:type="spellEnd"/>
                  <w:r w:rsidRPr="00CA3F41">
                    <w:rPr>
                      <w:rFonts w:cstheme="minorHAnsi"/>
                    </w:rPr>
                    <w:t xml:space="preserve"> araştırmalarda kullanılan deneysel, görüntüleme ve analiz yöntemlerini bilir ve uygular.</w:t>
                  </w:r>
                </w:p>
              </w:tc>
            </w:tr>
            <w:tr w:rsidR="006F7080" w:rsidRPr="00CA3F41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7EACD7C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2DA09D98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 xml:space="preserve">Bilişsel, duygusal ve davranışsal süreçleri açıklamak için </w:t>
                  </w:r>
                  <w:proofErr w:type="spellStart"/>
                  <w:r w:rsidRPr="00CA3F41">
                    <w:rPr>
                      <w:rFonts w:cstheme="minorHAnsi"/>
                    </w:rPr>
                    <w:t>nörogörüntüleme</w:t>
                  </w:r>
                  <w:proofErr w:type="spellEnd"/>
                  <w:r w:rsidRPr="00CA3F41">
                    <w:rPr>
                      <w:rFonts w:cstheme="minorHAnsi"/>
                    </w:rPr>
                    <w:t xml:space="preserve"> verilerini kullanma becerisine sahiptir</w:t>
                  </w:r>
                </w:p>
              </w:tc>
            </w:tr>
            <w:tr w:rsidR="006F7080" w:rsidRPr="00CA3F41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1C6ADEE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454B374B" w:rsidR="006F7080" w:rsidRPr="00CA3F41" w:rsidRDefault="00F55F98" w:rsidP="00F55F98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 w:rsidRPr="00CA3F41">
                    <w:rPr>
                      <w:rFonts w:cstheme="minorHAnsi"/>
                    </w:rPr>
                    <w:t>Nörogörüntüleme</w:t>
                  </w:r>
                  <w:proofErr w:type="spellEnd"/>
                  <w:r w:rsidRPr="00CA3F41">
                    <w:rPr>
                      <w:rFonts w:cstheme="minorHAnsi"/>
                    </w:rPr>
                    <w:t xml:space="preserve"> verilerini istatistiksel ve matematiksel tabanlı araçlarla analiz etme becerisi kazanır</w:t>
                  </w:r>
                </w:p>
              </w:tc>
            </w:tr>
            <w:tr w:rsidR="006F7080" w:rsidRPr="00CA3F41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317F99B6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369204FC" w:rsidR="006F7080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Deney tasarımı, veri toplama, işleme ve yorumlama süreçlerinde bilimsel yöntemleri etkin biçimde uygular.</w:t>
                  </w:r>
                </w:p>
              </w:tc>
            </w:tr>
            <w:tr w:rsidR="00AE2FFC" w:rsidRPr="00CA3F41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07389DE2" w:rsidR="00AE2FFC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11167753" w:rsidR="00AE2FFC" w:rsidRPr="00CA3F41" w:rsidRDefault="00F55F98" w:rsidP="006F7080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</w:rPr>
                    <w:t>İnsan katılımlı araştırmalarda etik ve güvenlik ilkelerine uygun hareket eder.</w:t>
                  </w:r>
                </w:p>
              </w:tc>
            </w:tr>
          </w:tbl>
          <w:p w14:paraId="04E5F6F6" w14:textId="25BF1690" w:rsidR="00732FAF" w:rsidRPr="00CA3F41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30C60" w:rsidRPr="00CA3F41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CA3F41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z w:val="20"/>
              </w:rPr>
              <w:lastRenderedPageBreak/>
              <w:t>Dersin</w:t>
            </w:r>
            <w:r w:rsidRPr="00CA3F41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A3F41">
              <w:rPr>
                <w:rFonts w:asciiTheme="minorHAnsi" w:hAnsiTheme="minorHAnsi" w:cstheme="minorHAnsi"/>
                <w:b/>
                <w:sz w:val="20"/>
              </w:rPr>
              <w:t xml:space="preserve">Alan </w:t>
            </w: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4443023" w:rsidR="00630C60" w:rsidRPr="00CA3F41" w:rsidRDefault="00F55F98" w:rsidP="00F55F98">
            <w:pPr>
              <w:widowControl/>
              <w:adjustRightInd w:val="0"/>
              <w:rPr>
                <w:rFonts w:cstheme="minorHAnsi"/>
                <w:sz w:val="20"/>
              </w:rPr>
            </w:pP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Öğrenciler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işlevsel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nörogörüntüleme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alanında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güncel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bilgileri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içeren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ders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kitapları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eşliğinde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farklı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ileri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düzey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teorik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yaklaşımlar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pratik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uygulamalar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hakkında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bilgi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sahibi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F41">
              <w:rPr>
                <w:rFonts w:cstheme="minorHAnsi"/>
                <w:sz w:val="20"/>
                <w:szCs w:val="20"/>
                <w:lang w:val="en-US"/>
              </w:rPr>
              <w:t>olabileceklerdir</w:t>
            </w:r>
            <w:proofErr w:type="spellEnd"/>
            <w:r w:rsidRPr="00CA3F41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FE2A29" w:rsidRPr="00CA3F41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CA3F41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CA3F41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3710CD0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Nörogörüntüleme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sistemlerine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giriş</w:t>
                  </w:r>
                  <w:proofErr w:type="spellEnd"/>
                </w:p>
              </w:tc>
            </w:tr>
            <w:tr w:rsidR="00AE2FFC" w:rsidRPr="00CA3F41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60FA553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Manyetik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rezonans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görüntüleme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(MRI)</w:t>
                  </w:r>
                </w:p>
              </w:tc>
            </w:tr>
            <w:tr w:rsidR="00AE2FFC" w:rsidRPr="00CA3F41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652A998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Nörogörüntüleme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Yöntemlerine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Genel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Bakış</w:t>
                  </w:r>
                  <w:proofErr w:type="spellEnd"/>
                </w:p>
              </w:tc>
            </w:tr>
            <w:tr w:rsidR="00AE2FFC" w:rsidRPr="00CA3F41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6E1BBD5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fMRI, MR, PET, EEG, MEG,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fNIRS</w:t>
                  </w:r>
                  <w:proofErr w:type="spellEnd"/>
                </w:p>
              </w:tc>
            </w:tr>
            <w:tr w:rsidR="00AE2FFC" w:rsidRPr="00CA3F41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43A2D84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Depresyonda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roiş</w:t>
                  </w:r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levsel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leme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fNIRS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, fMRI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EEG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ile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depresyon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iliş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kisi</w:t>
                  </w:r>
                  <w:proofErr w:type="spellEnd"/>
                </w:p>
              </w:tc>
            </w:tr>
            <w:tr w:rsidR="00AE2FFC" w:rsidRPr="00CA3F41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B0A09D0" w:rsidR="00AE2FFC" w:rsidRPr="00CA3F41" w:rsidRDefault="001333B4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Ş</w:t>
                  </w:r>
                  <w:r w:rsid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izofrenide</w:t>
                  </w:r>
                  <w:proofErr w:type="spellEnd"/>
                  <w:r w:rsid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roiş</w:t>
                  </w:r>
                  <w:r w:rsidR="00CA3F41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levsel</w:t>
                  </w:r>
                  <w:proofErr w:type="spellEnd"/>
                  <w:r w:rsidR="00CA3F41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</w:t>
                  </w:r>
                  <w:r w:rsidR="004D2B8B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leme</w:t>
                  </w:r>
                  <w:proofErr w:type="spellEnd"/>
                </w:p>
              </w:tc>
            </w:tr>
            <w:tr w:rsidR="00AE2FFC" w:rsidRPr="00CA3F41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B9C0E2C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Epilepside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roiş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levsel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görüntüleme</w:t>
                  </w:r>
                  <w:proofErr w:type="spellEnd"/>
                </w:p>
              </w:tc>
            </w:tr>
            <w:tr w:rsidR="00AE2FFC" w:rsidRPr="00CA3F41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CA3F41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CA3F41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698A02B" w:rsidR="00AE2FFC" w:rsidRPr="00CA3F41" w:rsidRDefault="00CA3F41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</w:t>
                  </w:r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lzheimer, Parkinson </w:t>
                  </w:r>
                  <w:proofErr w:type="spellStart"/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CJ</w:t>
                  </w:r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D'de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</w:t>
                  </w:r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</w:t>
                  </w:r>
                  <w:r w:rsidR="004D2B8B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leme</w:t>
                  </w:r>
                  <w:proofErr w:type="spellEnd"/>
                </w:p>
              </w:tc>
            </w:tr>
            <w:tr w:rsidR="00AE2FFC" w:rsidRPr="00CA3F41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66ED92D2" w:rsidR="00AE2FFC" w:rsidRPr="00CA3F41" w:rsidRDefault="00F55F98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Nöroradyolojide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bilgisayarlı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tomografi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kullanımı</w:t>
                  </w:r>
                  <w:proofErr w:type="spellEnd"/>
                </w:p>
              </w:tc>
            </w:tr>
            <w:tr w:rsidR="00AE2FFC" w:rsidRPr="00CA3F41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5401380" w:rsidR="00AE2FFC" w:rsidRPr="00CA3F41" w:rsidRDefault="00F55F98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Plastisite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adaptasyon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görüntüleme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AE2FFC" w:rsidRPr="00CA3F41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BD49AB9" w:rsidR="00AE2FFC" w:rsidRPr="00CA3F41" w:rsidRDefault="00F55F98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Opioid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uyari</w:t>
                  </w:r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cilarin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beyindeki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etkileri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</w:t>
                  </w:r>
                  <w:r w:rsidR="004D2B8B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</w:t>
                  </w:r>
                  <w:r w:rsidR="004D2B8B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leme</w:t>
                  </w:r>
                  <w:proofErr w:type="spellEnd"/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1333B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bulguları</w:t>
                  </w:r>
                  <w:proofErr w:type="spellEnd"/>
                </w:p>
              </w:tc>
            </w:tr>
            <w:tr w:rsidR="00AE2FFC" w:rsidRPr="00CA3F41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6C70785" w:rsidR="00AE2FFC" w:rsidRPr="00CA3F41" w:rsidRDefault="004D2B8B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İşlevsel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</w:t>
                  </w:r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görüntü</w:t>
                  </w: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leme</w:t>
                  </w:r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nin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güncel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kullanım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alanları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nö</w:t>
                  </w:r>
                  <w:r w:rsidR="00F55F98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ropaz</w:t>
                  </w:r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arlama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beyin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bilgisayar</w:t>
                  </w:r>
                  <w:proofErr w:type="spellEnd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arayü</w:t>
                  </w:r>
                  <w:r w:rsidR="00F55F98"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zleri</w:t>
                  </w:r>
                  <w:proofErr w:type="spellEnd"/>
                </w:p>
              </w:tc>
            </w:tr>
            <w:tr w:rsidR="00AE2FFC" w:rsidRPr="00CA3F41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EE4ADFD" w:rsidR="00AE2FFC" w:rsidRPr="00CA3F41" w:rsidRDefault="00F55F98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İstatistiksel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Analiz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: p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değeri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tek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yönlü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varyans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analizi</w:t>
                  </w:r>
                  <w:proofErr w:type="spellEnd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, t-test</w:t>
                  </w:r>
                </w:p>
              </w:tc>
            </w:tr>
            <w:tr w:rsidR="00AE2FFC" w:rsidRPr="00CA3F41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CA3F4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592C471" w:rsidR="00AE2FFC" w:rsidRPr="00CA3F41" w:rsidRDefault="00F55F98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 xml:space="preserve">Final </w:t>
                  </w:r>
                  <w:proofErr w:type="spellStart"/>
                  <w:r w:rsidRPr="00F55F98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val="en-US"/>
                    </w:rPr>
                    <w:t>sınavı</w:t>
                  </w:r>
                  <w:proofErr w:type="spellEnd"/>
                </w:p>
              </w:tc>
            </w:tr>
          </w:tbl>
          <w:p w14:paraId="00084DD6" w14:textId="1E67CA0A" w:rsidR="005060AA" w:rsidRPr="00CA3F41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CA3F41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CA3F41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A3F41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CA3F41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CA3F41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CA3F41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CA3F41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CA3F41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7272A866" w:rsidR="007F634E" w:rsidRPr="00CA3F41" w:rsidRDefault="00CA3F41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78C9FDE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CA3F41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A3F41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A3F41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A3F41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A3F41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A3F41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33B33862" w:rsidR="007F634E" w:rsidRPr="00CA3F41" w:rsidRDefault="00CA3F41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F65F504" w:rsidR="007F634E" w:rsidRPr="00CA3F41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A3F41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CA3F41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CA3F41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CA3F41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A3F4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CA3F41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CA3F41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A3F4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CA3F41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CA3F41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CA3F41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A3F41">
              <w:rPr>
                <w:rFonts w:asciiTheme="minorHAnsi" w:hAnsiTheme="minorHAnsi" w:cstheme="minorHAnsi"/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9DFD752" w:rsidR="00FE2A29" w:rsidRPr="00CA3F41" w:rsidRDefault="00FE2A29" w:rsidP="00FE2A29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A3F41">
              <w:rPr>
                <w:rFonts w:cstheme="minorHAnsi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CA3F41">
                <w:rPr>
                  <w:rStyle w:val="Kpr"/>
                  <w:rFonts w:cstheme="minorHAnsi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CA3F41">
              <w:rPr>
                <w:rFonts w:cstheme="minorHAnsi"/>
                <w:sz w:val="18"/>
                <w:szCs w:val="18"/>
              </w:rPr>
              <w:t xml:space="preserve">) ile görüşmeniz önerilir. Ayrıca, </w:t>
            </w:r>
            <w:r w:rsidR="00640FDE" w:rsidRPr="00640FDE">
              <w:rPr>
                <w:rFonts w:cstheme="minorHAnsi"/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CA3F41">
              <w:rPr>
                <w:rFonts w:cstheme="minorHAnsi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333B4"/>
    <w:rsid w:val="00185150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4D2B8B"/>
    <w:rsid w:val="005060AA"/>
    <w:rsid w:val="00574951"/>
    <w:rsid w:val="005833E5"/>
    <w:rsid w:val="00597347"/>
    <w:rsid w:val="00630C60"/>
    <w:rsid w:val="006339D8"/>
    <w:rsid w:val="00640FDE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A3F41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55F98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85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52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93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